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after="0" w:line="500" w:lineRule="exact"/>
        <w:jc w:val="both"/>
        <w:rPr>
          <w:rFonts w:asciiTheme="majorEastAsia" w:hAnsiTheme="majorEastAsia" w:eastAsiaTheme="majorEastAsia"/>
          <w:spacing w:val="38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pacing w:val="38"/>
          <w:sz w:val="28"/>
          <w:szCs w:val="28"/>
        </w:rPr>
        <w:t>一、项目名称：</w:t>
      </w:r>
      <w:r>
        <w:rPr>
          <w:rFonts w:asciiTheme="majorEastAsia" w:hAnsiTheme="majorEastAsia" w:eastAsiaTheme="majorEastAsia"/>
          <w:spacing w:val="38"/>
          <w:sz w:val="28"/>
          <w:szCs w:val="28"/>
        </w:rPr>
        <w:t>协同提升麦茬稻籽粒充实和品质的关键技术及产品应用</w:t>
      </w:r>
    </w:p>
    <w:p>
      <w:pPr>
        <w:adjustRightInd/>
        <w:spacing w:after="0" w:line="500" w:lineRule="exact"/>
        <w:jc w:val="both"/>
        <w:rPr>
          <w:rFonts w:asciiTheme="majorEastAsia" w:hAnsiTheme="majorEastAsia" w:eastAsiaTheme="majorEastAsia"/>
          <w:spacing w:val="38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38"/>
          <w:sz w:val="28"/>
          <w:szCs w:val="28"/>
        </w:rPr>
        <w:t>二、推荐单位：江苏省农学会</w:t>
      </w:r>
    </w:p>
    <w:p>
      <w:pPr>
        <w:adjustRightInd/>
        <w:spacing w:after="0" w:line="500" w:lineRule="exact"/>
        <w:ind w:left="636" w:hanging="712" w:hangingChars="200"/>
        <w:jc w:val="both"/>
        <w:rPr>
          <w:rFonts w:asciiTheme="majorEastAsia" w:hAnsiTheme="majorEastAsia" w:eastAsiaTheme="majorEastAsia"/>
          <w:spacing w:val="38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38"/>
          <w:sz w:val="28"/>
          <w:szCs w:val="28"/>
        </w:rPr>
        <w:t>三、奖种等级：2022-2023年度神农中华农业科技奖（科学研究类）二等奖</w:t>
      </w:r>
    </w:p>
    <w:p>
      <w:pPr>
        <w:adjustRightInd/>
        <w:spacing w:after="0" w:line="500" w:lineRule="exact"/>
        <w:jc w:val="both"/>
        <w:rPr>
          <w:rFonts w:asciiTheme="majorEastAsia" w:hAnsiTheme="majorEastAsia" w:eastAsiaTheme="majorEastAsia"/>
          <w:spacing w:val="38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38"/>
          <w:sz w:val="28"/>
          <w:szCs w:val="28"/>
        </w:rPr>
        <w:t>四、主要知识产权和标准规范等目录（不超过10项）</w:t>
      </w:r>
    </w:p>
    <w:tbl>
      <w:tblPr>
        <w:tblStyle w:val="13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20"/>
        <w:gridCol w:w="897"/>
        <w:gridCol w:w="1001"/>
        <w:gridCol w:w="945"/>
        <w:gridCol w:w="1305"/>
        <w:gridCol w:w="1067"/>
        <w:gridCol w:w="1139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知识产权（标准）类别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知识产权（标准）具体名称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国家（地区）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授权号（标准编号）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授权（标准发布）日期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证书编号（标准批准发布部门）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权利人（标准起草单位）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发明人（标准起草人）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一种水稻生长调节剂及其制备方法和使用方法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ZL201210181773.5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2013-11-06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1298361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江苏太湖地区农业科学研究所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杨代凤，董明辉，顾俊荣，陈培峰等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 xml:space="preserve">A Rice Growing Regulator and Its Application and Usage </w:t>
            </w:r>
          </w:p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澳大利亚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 xml:space="preserve">2020101679 </w:t>
            </w:r>
          </w:p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2020-08-26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苏州市农业科学院（江苏太湖地区农业科学研究所）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董明辉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一种机插水稻育秧基质及其生产方法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ZL201410067480.3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2015-11-04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1836230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金坛市作物栽培技术指导站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孙和平，魏广彬，沈培清，韩章富等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稻麦两作产量双增丰产技术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ZL201510189189.8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2017-06-16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2519171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江苏沿江地区农业科学研究所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刘建，魏亚凤，杨美英，李波，汪波，薛亚光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促进水稻分蘖早生快发的育苗定植方法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ZL201310229066.3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2015-01-28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1576977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江苏沿江地区农业科学研究所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魏亚凤，杨美英，刘建，李波，汪波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一种机插水稻旱地育秧方法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ZL201410067805.8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2015-12-30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1890385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金坛市作物栽培技术指导站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魏广彬，孙和平，段云辉，季忠等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发明专利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持续全量还田下机插秧苗早活棵早分蘖栽培方法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ZL201510198975.4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2016-02-03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1942866</w:t>
            </w:r>
          </w:p>
        </w:tc>
        <w:tc>
          <w:tcPr>
            <w:tcW w:w="1067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淮安市农业技术推广中心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王兴龙，石广跃*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2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肥料登记证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大量元素水溶肥料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农肥（2019）准字14935号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2020-04-28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扬州春泉科技有限公司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肥料登记证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含腐植酸水溶肥料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农肥（2018）准字10537号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2018-08-3</w:t>
            </w:r>
          </w:p>
        </w:tc>
        <w:tc>
          <w:tcPr>
            <w:tcW w:w="130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扬州春泉科技有限公司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_GB2312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6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软件著作权</w:t>
            </w:r>
          </w:p>
        </w:tc>
        <w:tc>
          <w:tcPr>
            <w:tcW w:w="102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好氧栽培稻田肥水一体化精确灌溉管理系统</w:t>
            </w:r>
          </w:p>
        </w:tc>
        <w:tc>
          <w:tcPr>
            <w:tcW w:w="89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中国</w:t>
            </w:r>
          </w:p>
        </w:tc>
        <w:tc>
          <w:tcPr>
            <w:tcW w:w="1001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软著登字第7478138号</w:t>
            </w:r>
          </w:p>
        </w:tc>
        <w:tc>
          <w:tcPr>
            <w:tcW w:w="94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</w:p>
        </w:tc>
        <w:tc>
          <w:tcPr>
            <w:tcW w:w="10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江苏太湖地区农业科学研究所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董明辉，顾俊荣等</w:t>
            </w:r>
          </w:p>
        </w:tc>
        <w:tc>
          <w:tcPr>
            <w:tcW w:w="1139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</w:rPr>
              <w:t>有效</w:t>
            </w:r>
          </w:p>
        </w:tc>
      </w:tr>
    </w:tbl>
    <w:p>
      <w:pPr>
        <w:adjustRightInd/>
        <w:spacing w:after="0" w:line="500" w:lineRule="exact"/>
        <w:jc w:val="both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38"/>
          <w:sz w:val="28"/>
          <w:szCs w:val="28"/>
        </w:rPr>
        <w:t>五、主要完成人：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赵步洪，陈培峰，董明辉，谢静静，肖新，张自常，魏亚凤，袁彩勇，李亚娟，石广跃，孙和平，王文青，顾俊荣，季红娟，陈瑞林</w:t>
      </w:r>
    </w:p>
    <w:p>
      <w:pPr>
        <w:adjustRightInd/>
        <w:spacing w:after="0" w:line="500" w:lineRule="exact"/>
        <w:jc w:val="both"/>
        <w:rPr>
          <w:rFonts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spacing w:val="38"/>
          <w:sz w:val="28"/>
          <w:szCs w:val="28"/>
        </w:rPr>
        <w:t>六、主要完成单位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江苏太湖地区农业科学研究所、江苏里下河地区农业科学研究所、江苏省农业科学院、江苏省农业技术推广总站、扬州春泉科技有限公司、安庆师范大学、江苏沿江地区农业科学研究所</w:t>
      </w:r>
    </w:p>
    <w:p>
      <w:pPr>
        <w:jc w:val="both"/>
        <w:rPr>
          <w:rFonts w:asciiTheme="majorEastAsia" w:hAnsiTheme="majorEastAsia" w:eastAsiaTheme="majorEastAsia"/>
          <w:spacing w:val="38"/>
          <w:sz w:val="28"/>
          <w:szCs w:val="28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30288"/>
    <w:multiLevelType w:val="multilevel"/>
    <w:tmpl w:val="39D30288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860" w:hanging="576"/>
      </w:pPr>
      <w:rPr>
        <w:rFonts w:hint="eastAsia" w:cs="Times New Roman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cs="Times New Roman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YzI3NDA2Mjk3NWY3OTYzZDY1N2I2MGQzYjU5ZTkifQ=="/>
  </w:docVars>
  <w:rsids>
    <w:rsidRoot w:val="00D31D50"/>
    <w:rsid w:val="00073F4D"/>
    <w:rsid w:val="00146956"/>
    <w:rsid w:val="001A72D7"/>
    <w:rsid w:val="00323B43"/>
    <w:rsid w:val="003D37D8"/>
    <w:rsid w:val="00426133"/>
    <w:rsid w:val="004358AB"/>
    <w:rsid w:val="006B6300"/>
    <w:rsid w:val="00775DBE"/>
    <w:rsid w:val="008B7726"/>
    <w:rsid w:val="00A24A93"/>
    <w:rsid w:val="00D31D50"/>
    <w:rsid w:val="00E44B39"/>
    <w:rsid w:val="00F10A60"/>
    <w:rsid w:val="03C44DA6"/>
    <w:rsid w:val="0E755782"/>
    <w:rsid w:val="20EE4267"/>
    <w:rsid w:val="2C025355"/>
    <w:rsid w:val="35455A85"/>
    <w:rsid w:val="400E5681"/>
    <w:rsid w:val="51522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widowControl w:val="0"/>
      <w:numPr>
        <w:ilvl w:val="0"/>
        <w:numId w:val="1"/>
      </w:numPr>
      <w:adjustRightInd/>
      <w:snapToGrid/>
      <w:spacing w:after="0" w:line="480" w:lineRule="auto"/>
      <w:outlineLvl w:val="0"/>
    </w:pPr>
    <w:rPr>
      <w:rFonts w:ascii="Calibri" w:hAnsi="Calibri" w:eastAsia="黑体" w:cs="Times New Roman"/>
      <w:b/>
      <w:bCs/>
      <w:kern w:val="44"/>
      <w:sz w:val="44"/>
      <w:szCs w:val="44"/>
      <w:lang w:eastAsia="en-US"/>
    </w:rPr>
  </w:style>
  <w:style w:type="paragraph" w:styleId="3">
    <w:name w:val="heading 2"/>
    <w:basedOn w:val="1"/>
    <w:next w:val="1"/>
    <w:link w:val="18"/>
    <w:qFormat/>
    <w:uiPriority w:val="0"/>
    <w:pPr>
      <w:widowControl w:val="0"/>
      <w:numPr>
        <w:ilvl w:val="1"/>
        <w:numId w:val="1"/>
      </w:numPr>
      <w:adjustRightInd/>
      <w:snapToGrid/>
      <w:spacing w:after="0" w:line="360" w:lineRule="auto"/>
      <w:outlineLvl w:val="1"/>
    </w:pPr>
    <w:rPr>
      <w:rFonts w:ascii="Calibri" w:hAnsi="Calibri" w:eastAsia="黑体" w:cs="Times New Roman"/>
      <w:b/>
      <w:bCs/>
      <w:sz w:val="28"/>
      <w:szCs w:val="32"/>
      <w:lang w:eastAsia="en-US"/>
    </w:rPr>
  </w:style>
  <w:style w:type="paragraph" w:styleId="4">
    <w:name w:val="heading 3"/>
    <w:basedOn w:val="1"/>
    <w:next w:val="1"/>
    <w:link w:val="19"/>
    <w:qFormat/>
    <w:uiPriority w:val="0"/>
    <w:pPr>
      <w:widowControl w:val="0"/>
      <w:numPr>
        <w:ilvl w:val="2"/>
        <w:numId w:val="1"/>
      </w:numPr>
      <w:adjustRightInd/>
      <w:snapToGrid/>
      <w:spacing w:beforeLines="100" w:afterLines="100" w:line="360" w:lineRule="auto"/>
      <w:outlineLvl w:val="2"/>
    </w:pPr>
    <w:rPr>
      <w:rFonts w:ascii="Calibri" w:hAnsi="Calibri" w:eastAsia="黑体" w:cs="Times New Roman"/>
      <w:b/>
      <w:bCs/>
      <w:sz w:val="32"/>
      <w:szCs w:val="32"/>
      <w:lang w:eastAsia="en-US"/>
    </w:rPr>
  </w:style>
  <w:style w:type="paragraph" w:styleId="5">
    <w:name w:val="heading 4"/>
    <w:basedOn w:val="1"/>
    <w:next w:val="1"/>
    <w:link w:val="20"/>
    <w:qFormat/>
    <w:uiPriority w:val="0"/>
    <w:pPr>
      <w:widowControl w:val="0"/>
      <w:numPr>
        <w:ilvl w:val="3"/>
        <w:numId w:val="1"/>
      </w:numPr>
      <w:adjustRightInd/>
      <w:snapToGrid/>
      <w:spacing w:beforeLines="100" w:afterLines="100"/>
      <w:jc w:val="both"/>
      <w:outlineLvl w:val="3"/>
    </w:pPr>
    <w:rPr>
      <w:rFonts w:ascii="Calibri" w:hAnsi="Calibri" w:eastAsia="仿宋_GB2312" w:cs="Times New Roman"/>
      <w:b/>
      <w:bCs/>
      <w:kern w:val="2"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widowControl w:val="0"/>
      <w:numPr>
        <w:ilvl w:val="4"/>
        <w:numId w:val="1"/>
      </w:numPr>
      <w:adjustRightInd/>
      <w:snapToGrid/>
      <w:spacing w:before="280" w:after="290" w:line="376" w:lineRule="auto"/>
      <w:jc w:val="both"/>
      <w:outlineLvl w:val="4"/>
    </w:pPr>
    <w:rPr>
      <w:rFonts w:ascii="Calibri" w:hAnsi="Calibri" w:eastAsia="宋体" w:cs="Times New Roman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widowControl w:val="0"/>
      <w:numPr>
        <w:ilvl w:val="5"/>
        <w:numId w:val="1"/>
      </w:numPr>
      <w:adjustRightInd/>
      <w:snapToGrid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</w:rPr>
  </w:style>
  <w:style w:type="paragraph" w:styleId="8">
    <w:name w:val="heading 7"/>
    <w:basedOn w:val="1"/>
    <w:next w:val="1"/>
    <w:link w:val="23"/>
    <w:qFormat/>
    <w:uiPriority w:val="0"/>
    <w:pPr>
      <w:widowControl w:val="0"/>
      <w:numPr>
        <w:ilvl w:val="6"/>
        <w:numId w:val="1"/>
      </w:numPr>
      <w:adjustRightInd/>
      <w:snapToGrid/>
      <w:spacing w:before="240" w:after="64" w:line="320" w:lineRule="auto"/>
      <w:outlineLvl w:val="6"/>
    </w:pPr>
    <w:rPr>
      <w:rFonts w:ascii="Calibri" w:hAnsi="Calibri" w:eastAsia="宋体" w:cs="Times New Roman"/>
      <w:b/>
      <w:bCs/>
      <w:sz w:val="24"/>
      <w:szCs w:val="24"/>
      <w:lang w:eastAsia="en-US"/>
    </w:rPr>
  </w:style>
  <w:style w:type="paragraph" w:styleId="9">
    <w:name w:val="heading 8"/>
    <w:basedOn w:val="1"/>
    <w:next w:val="1"/>
    <w:link w:val="24"/>
    <w:qFormat/>
    <w:uiPriority w:val="0"/>
    <w:pPr>
      <w:widowControl w:val="0"/>
      <w:numPr>
        <w:ilvl w:val="7"/>
        <w:numId w:val="1"/>
      </w:numPr>
      <w:adjustRightInd/>
      <w:snapToGrid/>
      <w:spacing w:before="240" w:after="64" w:line="320" w:lineRule="auto"/>
      <w:outlineLvl w:val="7"/>
    </w:pPr>
    <w:rPr>
      <w:rFonts w:ascii="Cambria" w:hAnsi="Cambria" w:eastAsia="宋体" w:cs="Times New Roman"/>
      <w:sz w:val="24"/>
      <w:szCs w:val="24"/>
      <w:lang w:eastAsia="en-US"/>
    </w:rPr>
  </w:style>
  <w:style w:type="paragraph" w:styleId="10">
    <w:name w:val="heading 9"/>
    <w:basedOn w:val="1"/>
    <w:next w:val="1"/>
    <w:link w:val="25"/>
    <w:qFormat/>
    <w:uiPriority w:val="0"/>
    <w:pPr>
      <w:widowControl w:val="0"/>
      <w:numPr>
        <w:ilvl w:val="8"/>
        <w:numId w:val="1"/>
      </w:numPr>
      <w:adjustRightInd/>
      <w:snapToGrid/>
      <w:spacing w:before="240" w:after="64" w:line="320" w:lineRule="auto"/>
      <w:outlineLvl w:val="8"/>
    </w:pPr>
    <w:rPr>
      <w:rFonts w:ascii="Cambria" w:hAnsi="Cambria" w:eastAsia="宋体" w:cs="Times New Roman"/>
      <w:sz w:val="21"/>
      <w:szCs w:val="21"/>
      <w:lang w:eastAsia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5">
    <w:name w:val="页眉 Char"/>
    <w:basedOn w:val="14"/>
    <w:link w:val="12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4"/>
    <w:link w:val="11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14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0"/>
    <w:rPr>
      <w:rFonts w:ascii="Calibri" w:hAnsi="Calibri" w:eastAsia="黑体" w:cs="Times New Roman"/>
      <w:b/>
      <w:bCs/>
      <w:sz w:val="28"/>
      <w:szCs w:val="32"/>
      <w:lang w:eastAsia="en-US"/>
    </w:rPr>
  </w:style>
  <w:style w:type="character" w:customStyle="1" w:styleId="19">
    <w:name w:val="标题 3 Char"/>
    <w:basedOn w:val="14"/>
    <w:link w:val="4"/>
    <w:qFormat/>
    <w:uiPriority w:val="0"/>
    <w:rPr>
      <w:rFonts w:ascii="Calibri" w:hAnsi="Calibri" w:eastAsia="黑体" w:cs="Times New Roman"/>
      <w:b/>
      <w:bCs/>
      <w:sz w:val="32"/>
      <w:szCs w:val="32"/>
      <w:lang w:eastAsia="en-US"/>
    </w:rPr>
  </w:style>
  <w:style w:type="character" w:customStyle="1" w:styleId="20">
    <w:name w:val="标题 4 Char"/>
    <w:basedOn w:val="14"/>
    <w:link w:val="5"/>
    <w:qFormat/>
    <w:uiPriority w:val="0"/>
    <w:rPr>
      <w:rFonts w:ascii="Calibri" w:hAnsi="Calibri" w:eastAsia="仿宋_GB2312" w:cs="Times New Roman"/>
      <w:b/>
      <w:bCs/>
      <w:kern w:val="2"/>
      <w:sz w:val="28"/>
      <w:szCs w:val="28"/>
    </w:rPr>
  </w:style>
  <w:style w:type="character" w:customStyle="1" w:styleId="21">
    <w:name w:val="标题 5 Char"/>
    <w:basedOn w:val="14"/>
    <w:link w:val="6"/>
    <w:qFormat/>
    <w:uiPriority w:val="0"/>
    <w:rPr>
      <w:rFonts w:ascii="Calibri" w:hAnsi="Calibri" w:eastAsia="宋体" w:cs="Times New Roman"/>
      <w:b/>
      <w:bCs/>
      <w:kern w:val="2"/>
      <w:sz w:val="28"/>
      <w:szCs w:val="28"/>
    </w:rPr>
  </w:style>
  <w:style w:type="character" w:customStyle="1" w:styleId="22">
    <w:name w:val="标题 6 Char"/>
    <w:basedOn w:val="14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23">
    <w:name w:val="标题 7 Char"/>
    <w:basedOn w:val="14"/>
    <w:link w:val="8"/>
    <w:qFormat/>
    <w:uiPriority w:val="0"/>
    <w:rPr>
      <w:rFonts w:ascii="Calibri" w:hAnsi="Calibri" w:eastAsia="宋体" w:cs="Times New Roman"/>
      <w:b/>
      <w:bCs/>
      <w:sz w:val="24"/>
      <w:szCs w:val="24"/>
      <w:lang w:eastAsia="en-US"/>
    </w:rPr>
  </w:style>
  <w:style w:type="character" w:customStyle="1" w:styleId="24">
    <w:name w:val="标题 8 Char"/>
    <w:basedOn w:val="14"/>
    <w:link w:val="9"/>
    <w:qFormat/>
    <w:uiPriority w:val="0"/>
    <w:rPr>
      <w:rFonts w:ascii="Cambria" w:hAnsi="Cambria" w:eastAsia="宋体" w:cs="Times New Roman"/>
      <w:sz w:val="24"/>
      <w:szCs w:val="24"/>
      <w:lang w:eastAsia="en-US"/>
    </w:rPr>
  </w:style>
  <w:style w:type="character" w:customStyle="1" w:styleId="25">
    <w:name w:val="标题 9 Char"/>
    <w:basedOn w:val="14"/>
    <w:link w:val="10"/>
    <w:qFormat/>
    <w:uiPriority w:val="0"/>
    <w:rPr>
      <w:rFonts w:ascii="Cambria" w:hAnsi="Cambria" w:eastAsia="宋体" w:cs="Times New Roman"/>
      <w:sz w:val="21"/>
      <w:szCs w:val="21"/>
      <w:lang w:eastAsia="en-US"/>
    </w:rPr>
  </w:style>
  <w:style w:type="character" w:customStyle="1" w:styleId="26">
    <w:name w:val="标题 1 Char1"/>
    <w:link w:val="2"/>
    <w:qFormat/>
    <w:uiPriority w:val="0"/>
    <w:rPr>
      <w:rFonts w:ascii="Calibri" w:hAnsi="Calibri" w:eastAsia="黑体" w:cs="Times New Roman"/>
      <w:b/>
      <w:bCs/>
      <w:kern w:val="44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852</Words>
  <Characters>1133</Characters>
  <Lines>8</Lines>
  <Paragraphs>2</Paragraphs>
  <TotalTime>2</TotalTime>
  <ScaleCrop>false</ScaleCrop>
  <LinksUpToDate>false</LinksUpToDate>
  <CharactersWithSpaces>1143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林微</cp:lastModifiedBy>
  <cp:lastPrinted>2023-01-12T08:22:00Z</cp:lastPrinted>
  <dcterms:modified xsi:type="dcterms:W3CDTF">2023-01-30T06:51:22Z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EB5A7BB6ABC443888512AA8562EFF7F6</vt:lpwstr>
  </property>
</Properties>
</file>