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17F" w:rsidRDefault="00C6517F"/>
    <w:p w:rsidR="00C6517F" w:rsidRDefault="00C6517F"/>
    <w:p w:rsidR="00C6517F" w:rsidRDefault="00C6517F"/>
    <w:tbl>
      <w:tblPr>
        <w:tblW w:w="8501" w:type="dxa"/>
        <w:tblInd w:w="-142" w:type="dxa"/>
        <w:tblLayout w:type="fixed"/>
        <w:tblCellMar>
          <w:left w:w="0" w:type="dxa"/>
          <w:right w:w="0" w:type="dxa"/>
        </w:tblCellMar>
        <w:tblLook w:val="04A0"/>
      </w:tblPr>
      <w:tblGrid>
        <w:gridCol w:w="852"/>
        <w:gridCol w:w="366"/>
        <w:gridCol w:w="604"/>
        <w:gridCol w:w="612"/>
        <w:gridCol w:w="77"/>
        <w:gridCol w:w="831"/>
        <w:gridCol w:w="305"/>
        <w:gridCol w:w="475"/>
        <w:gridCol w:w="738"/>
        <w:gridCol w:w="422"/>
        <w:gridCol w:w="177"/>
        <w:gridCol w:w="614"/>
        <w:gridCol w:w="723"/>
        <w:gridCol w:w="490"/>
        <w:gridCol w:w="1215"/>
      </w:tblGrid>
      <w:tr w:rsidR="00C6517F">
        <w:trPr>
          <w:trHeight w:val="535"/>
        </w:trPr>
        <w:tc>
          <w:tcPr>
            <w:tcW w:w="8501" w:type="dxa"/>
            <w:gridSpan w:val="15"/>
            <w:tcBorders>
              <w:top w:val="nil"/>
              <w:left w:val="nil"/>
              <w:bottom w:val="single" w:sz="4" w:space="0" w:color="auto"/>
              <w:right w:val="nil"/>
            </w:tcBorders>
            <w:shd w:val="clear" w:color="auto" w:fill="auto"/>
            <w:noWrap/>
            <w:tcMar>
              <w:top w:w="15" w:type="dxa"/>
              <w:left w:w="15" w:type="dxa"/>
              <w:bottom w:w="0" w:type="dxa"/>
              <w:right w:w="15" w:type="dxa"/>
            </w:tcMar>
          </w:tcPr>
          <w:p w:rsidR="00C6517F" w:rsidRDefault="002C0076">
            <w:pPr>
              <w:jc w:val="center"/>
              <w:rPr>
                <w:rFonts w:cs="Arial"/>
                <w:b/>
                <w:bCs/>
                <w:color w:val="000000"/>
                <w:sz w:val="40"/>
                <w:szCs w:val="40"/>
              </w:rPr>
            </w:pPr>
            <w:r>
              <w:rPr>
                <w:rFonts w:cs="Arial" w:hint="eastAsia"/>
                <w:b/>
                <w:bCs/>
                <w:color w:val="000000"/>
                <w:sz w:val="40"/>
                <w:szCs w:val="40"/>
              </w:rPr>
              <w:t>苏州市级财政支出项目绩效自评价报告</w:t>
            </w:r>
          </w:p>
        </w:tc>
      </w:tr>
      <w:tr w:rsidR="00C6517F">
        <w:trPr>
          <w:trHeight w:val="472"/>
        </w:trPr>
        <w:tc>
          <w:tcPr>
            <w:tcW w:w="8501" w:type="dxa"/>
            <w:gridSpan w:val="15"/>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b/>
                <w:bCs/>
                <w:color w:val="000000"/>
                <w:sz w:val="36"/>
                <w:szCs w:val="36"/>
              </w:rPr>
            </w:pPr>
            <w:r>
              <w:rPr>
                <w:rFonts w:cs="Arial" w:hint="eastAsia"/>
                <w:b/>
                <w:bCs/>
                <w:color w:val="000000"/>
                <w:sz w:val="36"/>
                <w:szCs w:val="36"/>
              </w:rPr>
              <w:t>苏州市级财政支出项目绩效自评表</w:t>
            </w:r>
          </w:p>
        </w:tc>
      </w:tr>
      <w:tr w:rsidR="00C6517F">
        <w:trPr>
          <w:trHeight w:val="394"/>
        </w:trPr>
        <w:tc>
          <w:tcPr>
            <w:tcW w:w="182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项目名称</w:t>
            </w:r>
          </w:p>
        </w:tc>
        <w:tc>
          <w:tcPr>
            <w:tcW w:w="3460"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农业绿色发展科研示范项目</w:t>
            </w:r>
          </w:p>
        </w:tc>
        <w:tc>
          <w:tcPr>
            <w:tcW w:w="1514"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项目年份</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2</w:t>
            </w:r>
            <w:r>
              <w:rPr>
                <w:rFonts w:ascii="宋体" w:hAnsi="宋体"/>
                <w:sz w:val="22"/>
              </w:rPr>
              <w:t>02</w:t>
            </w:r>
            <w:r>
              <w:rPr>
                <w:rFonts w:ascii="宋体" w:hAnsi="宋体" w:hint="eastAsia"/>
                <w:sz w:val="22"/>
              </w:rPr>
              <w:t>5</w:t>
            </w:r>
          </w:p>
        </w:tc>
      </w:tr>
      <w:tr w:rsidR="00C6517F">
        <w:trPr>
          <w:trHeight w:val="425"/>
        </w:trPr>
        <w:tc>
          <w:tcPr>
            <w:tcW w:w="182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项目主管部门</w:t>
            </w:r>
            <w:r>
              <w:rPr>
                <w:rFonts w:cs="Arial" w:hint="eastAsia"/>
                <w:color w:val="000000"/>
                <w:sz w:val="22"/>
              </w:rPr>
              <w:t>(</w:t>
            </w:r>
            <w:r>
              <w:rPr>
                <w:rFonts w:cs="Arial" w:hint="eastAsia"/>
                <w:color w:val="000000"/>
                <w:sz w:val="22"/>
              </w:rPr>
              <w:t>单位</w:t>
            </w:r>
            <w:r>
              <w:rPr>
                <w:rFonts w:cs="Arial" w:hint="eastAsia"/>
                <w:color w:val="000000"/>
                <w:sz w:val="22"/>
              </w:rPr>
              <w:t>)</w:t>
            </w:r>
          </w:p>
        </w:tc>
        <w:tc>
          <w:tcPr>
            <w:tcW w:w="6679" w:type="dxa"/>
            <w:gridSpan w:val="12"/>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苏州市农业科学院</w:t>
            </w:r>
          </w:p>
        </w:tc>
      </w:tr>
      <w:tr w:rsidR="00C6517F">
        <w:trPr>
          <w:trHeight w:val="535"/>
        </w:trPr>
        <w:tc>
          <w:tcPr>
            <w:tcW w:w="852" w:type="dxa"/>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市级预算执行情况（万元）</w:t>
            </w:r>
          </w:p>
        </w:tc>
        <w:tc>
          <w:tcPr>
            <w:tcW w:w="97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年初预算数</w:t>
            </w:r>
          </w:p>
        </w:tc>
        <w:tc>
          <w:tcPr>
            <w:tcW w:w="2300" w:type="dxa"/>
            <w:gridSpan w:val="5"/>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overflowPunct w:val="0"/>
              <w:adjustRightInd w:val="0"/>
              <w:snapToGrid w:val="0"/>
              <w:jc w:val="center"/>
              <w:rPr>
                <w:snapToGrid w:val="0"/>
                <w:color w:val="000000"/>
                <w:kern w:val="0"/>
                <w:sz w:val="24"/>
                <w:szCs w:val="28"/>
              </w:rPr>
            </w:pPr>
            <w:r>
              <w:rPr>
                <w:rFonts w:hint="eastAsia"/>
                <w:snapToGrid w:val="0"/>
                <w:color w:val="000000"/>
                <w:kern w:val="0"/>
                <w:sz w:val="24"/>
                <w:szCs w:val="28"/>
              </w:rPr>
              <w:t>当年使用上年结余、</w:t>
            </w:r>
          </w:p>
          <w:p w:rsidR="00C6517F" w:rsidRDefault="002C0076">
            <w:pPr>
              <w:jc w:val="center"/>
              <w:rPr>
                <w:rFonts w:cs="Arial"/>
                <w:color w:val="000000"/>
                <w:sz w:val="22"/>
              </w:rPr>
            </w:pPr>
            <w:r>
              <w:rPr>
                <w:rFonts w:hint="eastAsia"/>
                <w:snapToGrid w:val="0"/>
                <w:color w:val="000000"/>
                <w:spacing w:val="-10"/>
                <w:kern w:val="0"/>
                <w:sz w:val="24"/>
                <w:szCs w:val="28"/>
              </w:rPr>
              <w:t>结转及当年预算</w:t>
            </w:r>
            <w:r>
              <w:rPr>
                <w:rFonts w:hint="eastAsia"/>
                <w:snapToGrid w:val="0"/>
                <w:color w:val="000000"/>
                <w:spacing w:val="-10"/>
                <w:kern w:val="0"/>
                <w:sz w:val="24"/>
                <w:szCs w:val="28"/>
              </w:rPr>
              <w:t>追加追减数</w:t>
            </w:r>
          </w:p>
        </w:tc>
        <w:tc>
          <w:tcPr>
            <w:tcW w:w="1337" w:type="dxa"/>
            <w:gridSpan w:val="3"/>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财政拨款数</w:t>
            </w:r>
          </w:p>
        </w:tc>
        <w:tc>
          <w:tcPr>
            <w:tcW w:w="1337" w:type="dxa"/>
            <w:gridSpan w:val="2"/>
            <w:tcBorders>
              <w:top w:val="single" w:sz="4" w:space="0" w:color="000000"/>
              <w:left w:val="nil"/>
              <w:bottom w:val="single" w:sz="4" w:space="0" w:color="000000"/>
              <w:right w:val="single" w:sz="4" w:space="0" w:color="000000"/>
            </w:tcBorders>
            <w:shd w:val="clear" w:color="auto" w:fill="auto"/>
            <w:vAlign w:val="center"/>
          </w:tcPr>
          <w:p w:rsidR="00C6517F" w:rsidRDefault="002C0076">
            <w:pPr>
              <w:jc w:val="center"/>
              <w:rPr>
                <w:rFonts w:cs="Arial"/>
                <w:color w:val="000000"/>
                <w:sz w:val="22"/>
              </w:rPr>
            </w:pPr>
            <w:r>
              <w:rPr>
                <w:rFonts w:cs="Arial" w:hint="eastAsia"/>
                <w:color w:val="000000"/>
                <w:sz w:val="22"/>
              </w:rPr>
              <w:t>指标结余数</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指标结余收回数</w:t>
            </w:r>
          </w:p>
        </w:tc>
      </w:tr>
      <w:tr w:rsidR="00C6517F">
        <w:trPr>
          <w:trHeight w:val="441"/>
        </w:trPr>
        <w:tc>
          <w:tcPr>
            <w:tcW w:w="852" w:type="dxa"/>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97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230</w:t>
            </w:r>
          </w:p>
        </w:tc>
        <w:tc>
          <w:tcPr>
            <w:tcW w:w="2300" w:type="dxa"/>
            <w:gridSpan w:val="5"/>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c>
          <w:tcPr>
            <w:tcW w:w="1337" w:type="dxa"/>
            <w:gridSpan w:val="3"/>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230</w:t>
            </w:r>
          </w:p>
        </w:tc>
        <w:tc>
          <w:tcPr>
            <w:tcW w:w="1337" w:type="dxa"/>
            <w:gridSpan w:val="2"/>
            <w:tcBorders>
              <w:top w:val="single" w:sz="4" w:space="0" w:color="000000"/>
              <w:left w:val="nil"/>
              <w:bottom w:val="single" w:sz="4" w:space="0" w:color="000000"/>
              <w:right w:val="single" w:sz="4" w:space="0" w:color="000000"/>
            </w:tcBorders>
            <w:shd w:val="clear" w:color="auto" w:fill="auto"/>
            <w:vAlign w:val="center"/>
          </w:tcPr>
          <w:p w:rsidR="00C6517F" w:rsidRDefault="002C0076">
            <w:pPr>
              <w:jc w:val="center"/>
              <w:rPr>
                <w:rFonts w:cs="Arial"/>
                <w:color w:val="000000"/>
                <w:sz w:val="22"/>
              </w:rPr>
            </w:pPr>
            <w:r>
              <w:rPr>
                <w:rFonts w:ascii="宋体" w:hAnsi="宋体" w:hint="eastAsia"/>
                <w:sz w:val="22"/>
              </w:rPr>
              <w:t>0</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r>
      <w:tr w:rsidR="00C6517F">
        <w:trPr>
          <w:trHeight w:val="346"/>
        </w:trPr>
        <w:tc>
          <w:tcPr>
            <w:tcW w:w="852" w:type="dxa"/>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市级财政资金使用情况（万元）</w:t>
            </w:r>
          </w:p>
        </w:tc>
        <w:tc>
          <w:tcPr>
            <w:tcW w:w="970" w:type="dxa"/>
            <w:gridSpan w:val="2"/>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财政拨款数</w:t>
            </w:r>
          </w:p>
        </w:tc>
        <w:tc>
          <w:tcPr>
            <w:tcW w:w="1520" w:type="dxa"/>
            <w:gridSpan w:val="3"/>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实际支付数</w:t>
            </w:r>
          </w:p>
        </w:tc>
        <w:tc>
          <w:tcPr>
            <w:tcW w:w="194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资金结余、结转数</w:t>
            </w:r>
          </w:p>
        </w:tc>
        <w:tc>
          <w:tcPr>
            <w:tcW w:w="3219" w:type="dxa"/>
            <w:gridSpan w:val="5"/>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其中：</w:t>
            </w:r>
          </w:p>
        </w:tc>
      </w:tr>
      <w:tr w:rsidR="00C6517F">
        <w:trPr>
          <w:trHeight w:val="378"/>
        </w:trPr>
        <w:tc>
          <w:tcPr>
            <w:tcW w:w="852" w:type="dxa"/>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970" w:type="dxa"/>
            <w:gridSpan w:val="2"/>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1520" w:type="dxa"/>
            <w:gridSpan w:val="3"/>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1940" w:type="dxa"/>
            <w:gridSpan w:val="4"/>
            <w:vMerge/>
            <w:tcBorders>
              <w:top w:val="single" w:sz="4" w:space="0" w:color="000000"/>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1514"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结转数</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财政收回数</w:t>
            </w:r>
          </w:p>
        </w:tc>
      </w:tr>
      <w:tr w:rsidR="00C6517F">
        <w:trPr>
          <w:trHeight w:val="630"/>
        </w:trPr>
        <w:tc>
          <w:tcPr>
            <w:tcW w:w="852" w:type="dxa"/>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97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230</w:t>
            </w:r>
          </w:p>
        </w:tc>
        <w:tc>
          <w:tcPr>
            <w:tcW w:w="1520"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230</w:t>
            </w:r>
          </w:p>
        </w:tc>
        <w:tc>
          <w:tcPr>
            <w:tcW w:w="1940" w:type="dxa"/>
            <w:gridSpan w:val="4"/>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0</w:t>
            </w:r>
          </w:p>
        </w:tc>
        <w:tc>
          <w:tcPr>
            <w:tcW w:w="1514"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7"/>
        </w:trPr>
        <w:tc>
          <w:tcPr>
            <w:tcW w:w="8501"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项目资金构成（详细列出各子项目名称和金额）</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7"/>
        </w:trPr>
        <w:tc>
          <w:tcPr>
            <w:tcW w:w="2511"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
            </w:r>
            <w:r>
              <w:rPr>
                <w:rFonts w:ascii="宋体" w:hAnsi="宋体" w:cs="Arial" w:hint="eastAsia"/>
                <w:color w:val="000000"/>
                <w:kern w:val="0"/>
                <w:sz w:val="20"/>
                <w:szCs w:val="20"/>
              </w:rPr>
              <w:t>子项名称</w:t>
            </w:r>
          </w:p>
        </w:tc>
        <w:tc>
          <w:tcPr>
            <w:tcW w:w="2771"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调整</w:t>
            </w:r>
            <w:r>
              <w:rPr>
                <w:rFonts w:ascii="宋体" w:hAnsi="宋体" w:cs="Arial" w:hint="eastAsia"/>
                <w:color w:val="000000"/>
                <w:kern w:val="0"/>
                <w:sz w:val="20"/>
                <w:szCs w:val="20"/>
              </w:rPr>
              <w:t>预算数（万元）</w:t>
            </w:r>
          </w:p>
        </w:tc>
        <w:tc>
          <w:tcPr>
            <w:tcW w:w="3219"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实际</w:t>
            </w:r>
            <w:r>
              <w:rPr>
                <w:rFonts w:ascii="宋体" w:hAnsi="宋体" w:cs="Arial" w:hint="eastAsia"/>
                <w:color w:val="000000"/>
                <w:kern w:val="0"/>
                <w:sz w:val="20"/>
                <w:szCs w:val="20"/>
              </w:rPr>
              <w:t>支出</w:t>
            </w:r>
            <w:r>
              <w:rPr>
                <w:rFonts w:ascii="宋体" w:hAnsi="宋体" w:cs="Arial" w:hint="eastAsia"/>
                <w:color w:val="000000"/>
                <w:kern w:val="0"/>
                <w:sz w:val="20"/>
                <w:szCs w:val="20"/>
              </w:rPr>
              <w:t>数（万元）</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c>
          <w:tcPr>
            <w:tcW w:w="251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合计</w:t>
            </w:r>
          </w:p>
        </w:tc>
        <w:tc>
          <w:tcPr>
            <w:tcW w:w="277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230</w:t>
            </w:r>
          </w:p>
        </w:tc>
        <w:tc>
          <w:tcPr>
            <w:tcW w:w="3219"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230</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c>
          <w:tcPr>
            <w:tcW w:w="251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昆山锦溪长云村生态循环农业科研示范基地</w:t>
            </w:r>
          </w:p>
        </w:tc>
        <w:tc>
          <w:tcPr>
            <w:tcW w:w="277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20</w:t>
            </w:r>
          </w:p>
        </w:tc>
        <w:tc>
          <w:tcPr>
            <w:tcW w:w="3219"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20</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c>
          <w:tcPr>
            <w:tcW w:w="251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相城阳澄湖莲花岛绿色生态农业示范基地</w:t>
            </w:r>
          </w:p>
        </w:tc>
        <w:tc>
          <w:tcPr>
            <w:tcW w:w="277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40</w:t>
            </w:r>
          </w:p>
        </w:tc>
        <w:tc>
          <w:tcPr>
            <w:tcW w:w="3219"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40</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c>
          <w:tcPr>
            <w:tcW w:w="251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常熟支塘蒋巷村生物多样性农业科研示范基地</w:t>
            </w:r>
          </w:p>
        </w:tc>
        <w:tc>
          <w:tcPr>
            <w:tcW w:w="277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w:t>
            </w:r>
          </w:p>
        </w:tc>
        <w:tc>
          <w:tcPr>
            <w:tcW w:w="3219"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c>
          <w:tcPr>
            <w:tcW w:w="251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吴江横扇太浦河村农业面源污染控制科研示范基地</w:t>
            </w:r>
          </w:p>
        </w:tc>
        <w:tc>
          <w:tcPr>
            <w:tcW w:w="277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160</w:t>
            </w:r>
          </w:p>
        </w:tc>
        <w:tc>
          <w:tcPr>
            <w:tcW w:w="3219"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160</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7"/>
        </w:trPr>
        <w:tc>
          <w:tcPr>
            <w:tcW w:w="12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
            </w:r>
            <w:r>
              <w:rPr>
                <w:rFonts w:ascii="宋体" w:hAnsi="宋体" w:cs="Arial" w:hint="eastAsia"/>
                <w:color w:val="000000"/>
                <w:kern w:val="0"/>
                <w:sz w:val="20"/>
                <w:szCs w:val="20"/>
              </w:rPr>
              <w:t>项目</w:t>
            </w:r>
          </w:p>
        </w:tc>
        <w:tc>
          <w:tcPr>
            <w:tcW w:w="1216"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类别</w:t>
            </w:r>
          </w:p>
        </w:tc>
        <w:tc>
          <w:tcPr>
            <w:tcW w:w="1213"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指标名称</w:t>
            </w:r>
          </w:p>
        </w:tc>
        <w:tc>
          <w:tcPr>
            <w:tcW w:w="121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目标值</w:t>
            </w:r>
          </w:p>
        </w:tc>
        <w:tc>
          <w:tcPr>
            <w:tcW w:w="1213"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权重</w:t>
            </w:r>
          </w:p>
        </w:tc>
        <w:tc>
          <w:tcPr>
            <w:tcW w:w="121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实际完成值</w:t>
            </w:r>
          </w:p>
        </w:tc>
        <w:tc>
          <w:tcPr>
            <w:tcW w:w="1215" w:type="dxa"/>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自评分</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项目绩效实现情况（72分）</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决策目标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立项程序规范性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规范</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立项依据充分性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充分</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绩效指标明确性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明确</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绩效目标合理性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合理</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资金分配合理性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合理</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预算编制科学性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科学</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过程目标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预算执行率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8</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8</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资金到位率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资金使用合规性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合规</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管理制度健全性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健全</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制度执行有效性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有效</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产出目标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示范培训次数</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=4次</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6.25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4次</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6.25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技术应用率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&gt;=75%</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6.25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75%</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6.25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示范项目进度</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时序完成</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6.25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6.25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经营主体与政府投入比</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6.25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6.25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效益目标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宣传报道次数</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=4次</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4次</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经营主体收益增加率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&gt;=5%</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满意度目标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经营主体满意度</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&gt;=90%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90%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c>
          <w:tcPr>
            <w:tcW w:w="7286" w:type="dxa"/>
            <w:gridSpan w:val="14"/>
            <w:tcBorders>
              <w:top w:val="single" w:sz="4" w:space="0" w:color="auto"/>
              <w:left w:val="single" w:sz="4" w:space="0" w:color="auto"/>
              <w:bottom w:val="single" w:sz="4" w:space="0" w:color="auto"/>
              <w:right w:val="single" w:sz="4" w:space="0" w:color="auto"/>
            </w:tcBorders>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合计</w:t>
            </w:r>
          </w:p>
        </w:tc>
        <w:tc>
          <w:tcPr>
            <w:tcW w:w="1215" w:type="dxa"/>
            <w:tcBorders>
              <w:top w:val="single" w:sz="4" w:space="0" w:color="auto"/>
              <w:left w:val="single" w:sz="4" w:space="0" w:color="auto"/>
              <w:bottom w:val="single" w:sz="4" w:space="0" w:color="auto"/>
              <w:right w:val="single" w:sz="4" w:space="0" w:color="auto"/>
            </w:tcBorders>
            <w:vAlign w:val="center"/>
          </w:tcPr>
          <w:p w:rsidR="00C6517F" w:rsidRDefault="002C0076">
            <w:pPr>
              <w:widowControl/>
              <w:jc w:val="left"/>
              <w:rPr>
                <w:rFonts w:ascii="宋体" w:hAnsi="宋体" w:cs="Arial"/>
                <w:color w:val="000000"/>
                <w:kern w:val="0"/>
                <w:sz w:val="20"/>
                <w:szCs w:val="20"/>
              </w:rPr>
            </w:pPr>
            <w:r>
              <w:rPr>
                <w:rFonts w:ascii="宋体" w:hAnsi="宋体" w:hint="eastAsia"/>
                <w:sz w:val="22"/>
              </w:rPr>
              <w:t>72</w:t>
            </w:r>
          </w:p>
        </w:tc>
      </w:tr>
    </w:tbl>
    <w:p w:rsidR="00C6517F" w:rsidRDefault="00C6517F"/>
    <w:tbl>
      <w:tblPr>
        <w:tblW w:w="8506" w:type="dxa"/>
        <w:tblInd w:w="-147" w:type="dxa"/>
        <w:tblCellMar>
          <w:left w:w="0" w:type="dxa"/>
          <w:right w:w="0" w:type="dxa"/>
        </w:tblCellMar>
        <w:tblLook w:val="04A0"/>
      </w:tblPr>
      <w:tblGrid>
        <w:gridCol w:w="1547"/>
        <w:gridCol w:w="840"/>
        <w:gridCol w:w="960"/>
        <w:gridCol w:w="960"/>
        <w:gridCol w:w="960"/>
        <w:gridCol w:w="960"/>
        <w:gridCol w:w="960"/>
        <w:gridCol w:w="1319"/>
      </w:tblGrid>
      <w:tr w:rsidR="00C6517F">
        <w:tc>
          <w:tcPr>
            <w:tcW w:w="8506" w:type="dxa"/>
            <w:gridSpan w:val="8"/>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eastAsia="黑体" w:hint="eastAsia"/>
                <w:color w:val="000000"/>
                <w:kern w:val="0"/>
                <w:szCs w:val="21"/>
                <w:highlight w:val="yellow"/>
              </w:rPr>
              <w:t>填表说明：</w:t>
            </w:r>
            <w:r>
              <w:rPr>
                <w:rFonts w:eastAsia="楷体_GB2312" w:hint="eastAsia"/>
                <w:b/>
                <w:color w:val="000000"/>
                <w:kern w:val="0"/>
                <w:szCs w:val="21"/>
                <w:highlight w:val="yellow"/>
              </w:rPr>
              <w:t>1</w:t>
            </w:r>
            <w:r>
              <w:rPr>
                <w:rFonts w:eastAsia="楷体_GB2312" w:hint="eastAsia"/>
                <w:b/>
                <w:color w:val="000000"/>
                <w:kern w:val="0"/>
                <w:szCs w:val="21"/>
                <w:highlight w:val="yellow"/>
              </w:rPr>
              <w:t>．</w:t>
            </w:r>
            <w:r>
              <w:rPr>
                <w:rFonts w:eastAsia="楷体_GB2312" w:hint="eastAsia"/>
                <w:color w:val="000000"/>
                <w:kern w:val="0"/>
                <w:szCs w:val="21"/>
                <w:highlight w:val="yellow"/>
              </w:rPr>
              <w:t>“年初预算数”填</w:t>
            </w:r>
            <w:r>
              <w:rPr>
                <w:rFonts w:eastAsia="楷体_GB2312" w:hint="eastAsia"/>
                <w:color w:val="000000"/>
                <w:kern w:val="0"/>
                <w:szCs w:val="21"/>
                <w:highlight w:val="yellow"/>
              </w:rPr>
              <w:t>预算批复</w:t>
            </w:r>
            <w:r>
              <w:rPr>
                <w:rFonts w:eastAsia="楷体_GB2312" w:hint="eastAsia"/>
                <w:color w:val="000000"/>
                <w:kern w:val="0"/>
                <w:szCs w:val="21"/>
                <w:highlight w:val="yellow"/>
              </w:rPr>
              <w:t>数；“当年使用上年结余、结转及当年预算</w:t>
            </w:r>
            <w:r>
              <w:rPr>
                <w:rFonts w:eastAsia="楷体_GB2312" w:hint="eastAsia"/>
                <w:color w:val="000000"/>
                <w:kern w:val="0"/>
                <w:szCs w:val="21"/>
                <w:highlight w:val="yellow"/>
              </w:rPr>
              <w:t>追加追减</w:t>
            </w:r>
            <w:r>
              <w:rPr>
                <w:rFonts w:eastAsia="楷体_GB2312" w:hint="eastAsia"/>
                <w:color w:val="000000"/>
                <w:kern w:val="0"/>
                <w:szCs w:val="21"/>
                <w:highlight w:val="yellow"/>
              </w:rPr>
              <w:t>数”填当年使用上年结余、结转数以及追加或</w:t>
            </w:r>
            <w:r>
              <w:rPr>
                <w:rFonts w:eastAsia="楷体_GB2312" w:hint="eastAsia"/>
                <w:color w:val="000000"/>
                <w:kern w:val="0"/>
                <w:szCs w:val="21"/>
                <w:highlight w:val="yellow"/>
              </w:rPr>
              <w:t>追减</w:t>
            </w:r>
            <w:r>
              <w:rPr>
                <w:rFonts w:eastAsia="楷体_GB2312" w:hint="eastAsia"/>
                <w:color w:val="000000"/>
                <w:kern w:val="0"/>
                <w:szCs w:val="21"/>
                <w:highlight w:val="yellow"/>
              </w:rPr>
              <w:t>预算数；“财政拨款数”填财政部门实际拨付的款项数；“实际支付数”填资金实际支付到最终使用者的数额；“结转数”填结转以后年度使用的资金数；“财政收回数”填财政部门收回的资金数。指标结余数</w:t>
            </w:r>
            <w:r>
              <w:rPr>
                <w:rFonts w:eastAsia="楷体_GB2312" w:hint="eastAsia"/>
                <w:color w:val="000000"/>
                <w:kern w:val="0"/>
                <w:szCs w:val="21"/>
                <w:highlight w:val="yellow"/>
              </w:rPr>
              <w:t>=</w:t>
            </w:r>
            <w:r>
              <w:rPr>
                <w:rFonts w:eastAsia="楷体_GB2312" w:hint="eastAsia"/>
                <w:color w:val="000000"/>
                <w:kern w:val="0"/>
                <w:szCs w:val="21"/>
                <w:highlight w:val="yellow"/>
              </w:rPr>
              <w:t>年初预算数</w:t>
            </w:r>
            <w:r>
              <w:rPr>
                <w:rFonts w:eastAsia="楷体_GB2312" w:hint="eastAsia"/>
                <w:color w:val="000000"/>
                <w:kern w:val="0"/>
                <w:szCs w:val="21"/>
                <w:highlight w:val="yellow"/>
              </w:rPr>
              <w:t>+</w:t>
            </w:r>
            <w:r>
              <w:rPr>
                <w:rFonts w:eastAsia="楷体_GB2312" w:hint="eastAsia"/>
                <w:color w:val="000000"/>
                <w:kern w:val="0"/>
                <w:szCs w:val="21"/>
                <w:highlight w:val="yellow"/>
              </w:rPr>
              <w:t>当年使用上年结余、结转及当年预算</w:t>
            </w:r>
            <w:r>
              <w:rPr>
                <w:rFonts w:eastAsia="楷体_GB2312" w:hint="eastAsia"/>
                <w:color w:val="000000"/>
                <w:kern w:val="0"/>
                <w:szCs w:val="21"/>
                <w:highlight w:val="yellow"/>
              </w:rPr>
              <w:t>追加追减</w:t>
            </w:r>
            <w:r>
              <w:rPr>
                <w:rFonts w:eastAsia="楷体_GB2312" w:hint="eastAsia"/>
                <w:color w:val="000000"/>
                <w:kern w:val="0"/>
                <w:szCs w:val="21"/>
                <w:highlight w:val="yellow"/>
              </w:rPr>
              <w:t>数</w:t>
            </w:r>
            <w:r>
              <w:rPr>
                <w:rFonts w:eastAsia="楷体_GB2312" w:hint="eastAsia"/>
                <w:color w:val="000000"/>
                <w:kern w:val="0"/>
                <w:szCs w:val="21"/>
                <w:highlight w:val="yellow"/>
              </w:rPr>
              <w:t>-</w:t>
            </w:r>
            <w:r>
              <w:rPr>
                <w:rFonts w:eastAsia="楷体_GB2312" w:hint="eastAsia"/>
                <w:color w:val="000000"/>
                <w:kern w:val="0"/>
                <w:szCs w:val="21"/>
                <w:highlight w:val="yellow"/>
              </w:rPr>
              <w:t>财政拨款数；</w:t>
            </w:r>
            <w:r>
              <w:rPr>
                <w:rFonts w:eastAsia="楷体_GB2312" w:hint="eastAsia"/>
                <w:color w:val="000000"/>
                <w:kern w:val="0"/>
                <w:szCs w:val="21"/>
                <w:highlight w:val="yellow"/>
              </w:rPr>
              <w:t>计划结余数</w:t>
            </w:r>
            <w:r>
              <w:rPr>
                <w:rFonts w:eastAsia="楷体_GB2312" w:hint="eastAsia"/>
                <w:color w:val="000000"/>
                <w:kern w:val="0"/>
                <w:szCs w:val="21"/>
                <w:highlight w:val="yellow"/>
              </w:rPr>
              <w:t>=</w:t>
            </w:r>
            <w:r>
              <w:rPr>
                <w:rFonts w:eastAsia="楷体_GB2312" w:hint="eastAsia"/>
                <w:color w:val="000000"/>
                <w:kern w:val="0"/>
                <w:szCs w:val="21"/>
                <w:highlight w:val="yellow"/>
              </w:rPr>
              <w:t>财政拨款数</w:t>
            </w:r>
            <w:r>
              <w:rPr>
                <w:rFonts w:eastAsia="楷体_GB2312" w:hint="eastAsia"/>
                <w:color w:val="000000"/>
                <w:kern w:val="0"/>
                <w:szCs w:val="21"/>
                <w:highlight w:val="yellow"/>
              </w:rPr>
              <w:t>-</w:t>
            </w:r>
            <w:r>
              <w:rPr>
                <w:rFonts w:eastAsia="楷体_GB2312" w:hint="eastAsia"/>
                <w:color w:val="000000"/>
                <w:kern w:val="0"/>
                <w:szCs w:val="21"/>
                <w:highlight w:val="yellow"/>
              </w:rPr>
              <w:t>实际支付数</w:t>
            </w:r>
            <w:r>
              <w:rPr>
                <w:rFonts w:eastAsia="楷体_GB2312" w:hint="eastAsia"/>
                <w:color w:val="000000"/>
                <w:kern w:val="0"/>
                <w:szCs w:val="21"/>
                <w:highlight w:val="yellow"/>
              </w:rPr>
              <w:t>=</w:t>
            </w:r>
            <w:r>
              <w:rPr>
                <w:rFonts w:eastAsia="楷体_GB2312" w:hint="eastAsia"/>
                <w:color w:val="000000"/>
                <w:kern w:val="0"/>
                <w:szCs w:val="21"/>
                <w:highlight w:val="yellow"/>
              </w:rPr>
              <w:t>计划</w:t>
            </w:r>
            <w:r>
              <w:rPr>
                <w:rFonts w:eastAsia="楷体_GB2312" w:hint="eastAsia"/>
                <w:color w:val="000000"/>
                <w:kern w:val="0"/>
                <w:szCs w:val="21"/>
                <w:highlight w:val="yellow"/>
              </w:rPr>
              <w:t>结转数</w:t>
            </w:r>
            <w:r>
              <w:rPr>
                <w:rFonts w:eastAsia="楷体_GB2312" w:hint="eastAsia"/>
                <w:color w:val="000000"/>
                <w:kern w:val="0"/>
                <w:szCs w:val="21"/>
                <w:highlight w:val="yellow"/>
              </w:rPr>
              <w:t>+</w:t>
            </w:r>
            <w:r>
              <w:rPr>
                <w:rFonts w:eastAsia="楷体_GB2312" w:hint="eastAsia"/>
                <w:color w:val="000000"/>
                <w:kern w:val="0"/>
                <w:szCs w:val="21"/>
                <w:highlight w:val="yellow"/>
              </w:rPr>
              <w:t>财政收回数。</w:t>
            </w:r>
            <w:r>
              <w:rPr>
                <w:rFonts w:eastAsia="楷体_GB2312" w:hint="eastAsia"/>
                <w:b/>
                <w:color w:val="000000"/>
                <w:kern w:val="0"/>
                <w:szCs w:val="21"/>
                <w:highlight w:val="yellow"/>
              </w:rPr>
              <w:t>2</w:t>
            </w:r>
            <w:r>
              <w:rPr>
                <w:rFonts w:eastAsia="楷体_GB2312" w:hint="eastAsia"/>
                <w:b/>
                <w:color w:val="000000"/>
                <w:kern w:val="0"/>
                <w:szCs w:val="21"/>
                <w:highlight w:val="yellow"/>
              </w:rPr>
              <w:t>．</w:t>
            </w:r>
            <w:r>
              <w:rPr>
                <w:rFonts w:eastAsia="楷体_GB2312" w:hint="eastAsia"/>
                <w:color w:val="000000"/>
                <w:kern w:val="0"/>
                <w:szCs w:val="21"/>
                <w:highlight w:val="yellow"/>
              </w:rPr>
              <w:t>“</w:t>
            </w:r>
            <w:r>
              <w:rPr>
                <w:rFonts w:eastAsia="楷体_GB2312" w:hint="eastAsia"/>
                <w:color w:val="000000"/>
                <w:kern w:val="0"/>
                <w:szCs w:val="21"/>
                <w:highlight w:val="yellow"/>
              </w:rPr>
              <w:t>决策</w:t>
            </w:r>
            <w:r>
              <w:rPr>
                <w:rFonts w:eastAsia="楷体_GB2312" w:hint="eastAsia"/>
                <w:color w:val="000000"/>
                <w:kern w:val="0"/>
                <w:szCs w:val="21"/>
                <w:highlight w:val="yellow"/>
              </w:rPr>
              <w:t>”</w:t>
            </w:r>
            <w:r>
              <w:rPr>
                <w:rFonts w:eastAsia="楷体_GB2312" w:hint="eastAsia"/>
                <w:color w:val="000000"/>
                <w:kern w:val="0"/>
                <w:szCs w:val="21"/>
                <w:highlight w:val="yellow"/>
              </w:rPr>
              <w:t>、“过程”</w:t>
            </w:r>
            <w:r>
              <w:rPr>
                <w:rFonts w:eastAsia="楷体_GB2312" w:hint="eastAsia"/>
                <w:color w:val="000000"/>
                <w:kern w:val="0"/>
                <w:szCs w:val="21"/>
                <w:highlight w:val="yellow"/>
              </w:rPr>
              <w:t>类指标</w:t>
            </w:r>
            <w:r>
              <w:rPr>
                <w:rFonts w:eastAsia="楷体_GB2312" w:hint="eastAsia"/>
                <w:color w:val="000000"/>
                <w:kern w:val="0"/>
                <w:szCs w:val="21"/>
                <w:highlight w:val="yellow"/>
              </w:rPr>
              <w:t>每个指标的权重值固定</w:t>
            </w:r>
            <w:r>
              <w:rPr>
                <w:rFonts w:eastAsia="楷体_GB2312" w:hint="eastAsia"/>
                <w:color w:val="000000"/>
                <w:kern w:val="0"/>
                <w:szCs w:val="21"/>
                <w:highlight w:val="yellow"/>
              </w:rPr>
              <w:t>，“产出”、“</w:t>
            </w:r>
            <w:r>
              <w:rPr>
                <w:rFonts w:eastAsia="楷体_GB2312" w:hint="eastAsia"/>
                <w:color w:val="000000"/>
                <w:kern w:val="0"/>
                <w:szCs w:val="21"/>
                <w:highlight w:val="yellow"/>
              </w:rPr>
              <w:t>效益</w:t>
            </w:r>
            <w:r>
              <w:rPr>
                <w:rFonts w:eastAsia="楷体_GB2312" w:hint="eastAsia"/>
                <w:color w:val="000000"/>
                <w:kern w:val="0"/>
                <w:szCs w:val="21"/>
                <w:highlight w:val="yellow"/>
              </w:rPr>
              <w:t>”、“</w:t>
            </w:r>
            <w:r>
              <w:rPr>
                <w:rFonts w:eastAsia="楷体_GB2312" w:hint="eastAsia"/>
                <w:color w:val="000000"/>
                <w:kern w:val="0"/>
                <w:szCs w:val="21"/>
                <w:highlight w:val="yellow"/>
              </w:rPr>
              <w:t>满意度</w:t>
            </w:r>
            <w:r>
              <w:rPr>
                <w:rFonts w:eastAsia="楷体_GB2312" w:hint="eastAsia"/>
                <w:color w:val="000000"/>
                <w:kern w:val="0"/>
                <w:szCs w:val="21"/>
                <w:highlight w:val="yellow"/>
              </w:rPr>
              <w:t>”指标权重值是根据指标数量将</w:t>
            </w:r>
            <w:r>
              <w:rPr>
                <w:rFonts w:eastAsia="楷体_GB2312" w:hint="eastAsia"/>
                <w:color w:val="000000"/>
                <w:kern w:val="0"/>
                <w:szCs w:val="21"/>
                <w:highlight w:val="yellow"/>
              </w:rPr>
              <w:t>每</w:t>
            </w:r>
            <w:r>
              <w:rPr>
                <w:rFonts w:eastAsia="楷体_GB2312" w:hint="eastAsia"/>
                <w:color w:val="000000"/>
                <w:kern w:val="0"/>
                <w:szCs w:val="21"/>
                <w:highlight w:val="yellow"/>
              </w:rPr>
              <w:t>类</w:t>
            </w:r>
            <w:r>
              <w:rPr>
                <w:rFonts w:eastAsia="楷体_GB2312" w:hint="eastAsia"/>
                <w:color w:val="000000"/>
                <w:kern w:val="0"/>
                <w:szCs w:val="21"/>
                <w:highlight w:val="yellow"/>
              </w:rPr>
              <w:t>指标总</w:t>
            </w:r>
            <w:r>
              <w:rPr>
                <w:rFonts w:eastAsia="楷体_GB2312" w:hint="eastAsia"/>
                <w:color w:val="000000"/>
                <w:kern w:val="0"/>
                <w:szCs w:val="21"/>
                <w:highlight w:val="yellow"/>
              </w:rPr>
              <w:t>分值分摊到各项指标，即各项指标分值</w:t>
            </w:r>
            <w:r>
              <w:rPr>
                <w:rFonts w:eastAsia="楷体_GB2312" w:hint="eastAsia"/>
                <w:color w:val="000000"/>
                <w:kern w:val="0"/>
                <w:szCs w:val="21"/>
                <w:highlight w:val="yellow"/>
              </w:rPr>
              <w:t>=</w:t>
            </w:r>
            <w:r>
              <w:rPr>
                <w:rFonts w:eastAsia="楷体_GB2312" w:hint="eastAsia"/>
                <w:color w:val="000000"/>
                <w:kern w:val="0"/>
                <w:szCs w:val="21"/>
                <w:highlight w:val="yellow"/>
              </w:rPr>
              <w:t>每类</w:t>
            </w:r>
            <w:r>
              <w:rPr>
                <w:rFonts w:eastAsia="楷体_GB2312" w:hint="eastAsia"/>
                <w:color w:val="000000"/>
                <w:kern w:val="0"/>
                <w:szCs w:val="21"/>
                <w:highlight w:val="yellow"/>
              </w:rPr>
              <w:t>指标</w:t>
            </w:r>
            <w:r>
              <w:rPr>
                <w:rFonts w:eastAsia="楷体_GB2312" w:hint="eastAsia"/>
                <w:color w:val="000000"/>
                <w:kern w:val="0"/>
                <w:szCs w:val="21"/>
                <w:highlight w:val="yellow"/>
              </w:rPr>
              <w:t>总分值</w:t>
            </w:r>
            <w:r>
              <w:rPr>
                <w:rFonts w:eastAsia="楷体_GB2312" w:hint="eastAsia"/>
                <w:color w:val="000000"/>
                <w:kern w:val="0"/>
                <w:szCs w:val="21"/>
                <w:highlight w:val="yellow"/>
              </w:rPr>
              <w:t>/</w:t>
            </w:r>
            <w:r>
              <w:rPr>
                <w:rFonts w:eastAsia="楷体_GB2312" w:hint="eastAsia"/>
                <w:color w:val="000000"/>
                <w:kern w:val="0"/>
                <w:szCs w:val="21"/>
                <w:highlight w:val="yellow"/>
              </w:rPr>
              <w:t>该类</w:t>
            </w:r>
            <w:r>
              <w:rPr>
                <w:rFonts w:eastAsia="楷体_GB2312" w:hint="eastAsia"/>
                <w:color w:val="000000"/>
                <w:kern w:val="0"/>
                <w:szCs w:val="21"/>
                <w:highlight w:val="yellow"/>
              </w:rPr>
              <w:t>指标个数。</w:t>
            </w:r>
            <w:r>
              <w:rPr>
                <w:rFonts w:eastAsia="楷体_GB2312" w:hint="eastAsia"/>
                <w:b/>
                <w:color w:val="000000"/>
                <w:kern w:val="0"/>
                <w:szCs w:val="21"/>
                <w:highlight w:val="yellow"/>
              </w:rPr>
              <w:t>3</w:t>
            </w:r>
            <w:r>
              <w:rPr>
                <w:rFonts w:eastAsia="楷体_GB2312" w:hint="eastAsia"/>
                <w:b/>
                <w:color w:val="000000"/>
                <w:kern w:val="0"/>
                <w:szCs w:val="21"/>
                <w:highlight w:val="yellow"/>
              </w:rPr>
              <w:t>．</w:t>
            </w:r>
            <w:r>
              <w:rPr>
                <w:rFonts w:eastAsia="楷体_GB2312" w:hint="eastAsia"/>
                <w:color w:val="000000"/>
                <w:kern w:val="0"/>
                <w:szCs w:val="21"/>
                <w:highlight w:val="yellow"/>
              </w:rPr>
              <w:t>各项数据采集的时间节点均为</w:t>
            </w:r>
            <w:r>
              <w:rPr>
                <w:rFonts w:eastAsia="楷体_GB2312" w:hint="eastAsia"/>
                <w:color w:val="000000"/>
                <w:kern w:val="0"/>
                <w:szCs w:val="21"/>
                <w:highlight w:val="yellow"/>
              </w:rPr>
              <w:t>202</w:t>
            </w:r>
            <w:r w:rsidR="00891A00">
              <w:rPr>
                <w:rFonts w:eastAsia="楷体_GB2312" w:hint="eastAsia"/>
                <w:color w:val="000000"/>
                <w:kern w:val="0"/>
                <w:szCs w:val="21"/>
                <w:highlight w:val="yellow"/>
              </w:rPr>
              <w:t>5</w:t>
            </w:r>
            <w:r>
              <w:rPr>
                <w:rFonts w:eastAsia="楷体_GB2312" w:hint="eastAsia"/>
                <w:color w:val="000000"/>
                <w:kern w:val="0"/>
                <w:szCs w:val="21"/>
                <w:highlight w:val="yellow"/>
              </w:rPr>
              <w:t>年</w:t>
            </w:r>
            <w:r>
              <w:rPr>
                <w:rFonts w:eastAsia="楷体_GB2312" w:hint="eastAsia"/>
                <w:color w:val="000000"/>
                <w:kern w:val="0"/>
                <w:szCs w:val="21"/>
                <w:highlight w:val="yellow"/>
              </w:rPr>
              <w:t>12</w:t>
            </w:r>
            <w:r>
              <w:rPr>
                <w:rFonts w:eastAsia="楷体_GB2312" w:hint="eastAsia"/>
                <w:color w:val="000000"/>
                <w:kern w:val="0"/>
                <w:szCs w:val="21"/>
                <w:highlight w:val="yellow"/>
              </w:rPr>
              <w:t>月</w:t>
            </w:r>
            <w:r>
              <w:rPr>
                <w:rFonts w:eastAsia="楷体_GB2312" w:hint="eastAsia"/>
                <w:color w:val="000000"/>
                <w:kern w:val="0"/>
                <w:szCs w:val="21"/>
                <w:highlight w:val="yellow"/>
              </w:rPr>
              <w:t>31</w:t>
            </w:r>
            <w:r>
              <w:rPr>
                <w:rFonts w:eastAsia="楷体_GB2312" w:hint="eastAsia"/>
                <w:color w:val="000000"/>
                <w:kern w:val="0"/>
                <w:szCs w:val="21"/>
                <w:highlight w:val="yellow"/>
              </w:rPr>
              <w:t>日。</w:t>
            </w:r>
            <w:r>
              <w:rPr>
                <w:rFonts w:eastAsia="楷体_GB2312" w:hint="eastAsia"/>
                <w:b/>
                <w:color w:val="000000"/>
                <w:kern w:val="0"/>
                <w:szCs w:val="21"/>
                <w:highlight w:val="yellow"/>
              </w:rPr>
              <w:t>4</w:t>
            </w:r>
            <w:r>
              <w:rPr>
                <w:rFonts w:eastAsia="楷体_GB2312" w:hint="eastAsia"/>
                <w:b/>
                <w:color w:val="000000"/>
                <w:kern w:val="0"/>
                <w:szCs w:val="21"/>
                <w:highlight w:val="yellow"/>
              </w:rPr>
              <w:t>．</w:t>
            </w:r>
            <w:r>
              <w:rPr>
                <w:rFonts w:eastAsia="楷体_GB2312" w:hint="eastAsia"/>
                <w:color w:val="000000"/>
                <w:kern w:val="0"/>
                <w:szCs w:val="21"/>
                <w:highlight w:val="yellow"/>
              </w:rPr>
              <w:t>定性指标</w:t>
            </w:r>
            <w:r>
              <w:rPr>
                <w:rFonts w:eastAsia="楷体_GB2312" w:hint="eastAsia"/>
                <w:color w:val="000000"/>
                <w:kern w:val="0"/>
                <w:szCs w:val="21"/>
                <w:highlight w:val="yellow"/>
              </w:rPr>
              <w:t>根据实际完成情况按照</w:t>
            </w:r>
            <w:r>
              <w:rPr>
                <w:rFonts w:eastAsia="楷体_GB2312" w:hint="eastAsia"/>
                <w:color w:val="000000"/>
                <w:kern w:val="0"/>
                <w:szCs w:val="21"/>
                <w:highlight w:val="yellow"/>
              </w:rPr>
              <w:t>100%</w:t>
            </w:r>
            <w:r>
              <w:rPr>
                <w:rFonts w:eastAsia="楷体_GB2312" w:hint="eastAsia"/>
                <w:color w:val="000000"/>
                <w:kern w:val="0"/>
                <w:szCs w:val="21"/>
                <w:highlight w:val="yellow"/>
              </w:rPr>
              <w:t>、</w:t>
            </w:r>
            <w:r>
              <w:rPr>
                <w:rFonts w:eastAsia="楷体_GB2312" w:hint="eastAsia"/>
                <w:color w:val="000000"/>
                <w:kern w:val="0"/>
                <w:szCs w:val="21"/>
                <w:highlight w:val="yellow"/>
              </w:rPr>
              <w:t>80%</w:t>
            </w:r>
            <w:r>
              <w:rPr>
                <w:rFonts w:eastAsia="楷体_GB2312" w:hint="eastAsia"/>
                <w:color w:val="000000"/>
                <w:kern w:val="0"/>
                <w:szCs w:val="21"/>
                <w:highlight w:val="yellow"/>
              </w:rPr>
              <w:t>、</w:t>
            </w:r>
            <w:r>
              <w:rPr>
                <w:rFonts w:eastAsia="楷体_GB2312" w:hint="eastAsia"/>
                <w:color w:val="000000"/>
                <w:kern w:val="0"/>
                <w:szCs w:val="21"/>
                <w:highlight w:val="yellow"/>
              </w:rPr>
              <w:t>60%</w:t>
            </w:r>
            <w:r>
              <w:rPr>
                <w:rFonts w:eastAsia="楷体_GB2312" w:hint="eastAsia"/>
                <w:color w:val="000000"/>
                <w:kern w:val="0"/>
                <w:szCs w:val="21"/>
                <w:highlight w:val="yellow"/>
              </w:rPr>
              <w:t>、</w:t>
            </w:r>
            <w:r>
              <w:rPr>
                <w:rFonts w:eastAsia="楷体_GB2312" w:hint="eastAsia"/>
                <w:color w:val="000000"/>
                <w:kern w:val="0"/>
                <w:szCs w:val="21"/>
                <w:highlight w:val="yellow"/>
              </w:rPr>
              <w:t>40%</w:t>
            </w:r>
            <w:r>
              <w:rPr>
                <w:rFonts w:eastAsia="楷体_GB2312" w:hint="eastAsia"/>
                <w:color w:val="000000"/>
                <w:kern w:val="0"/>
                <w:szCs w:val="21"/>
                <w:highlight w:val="yellow"/>
              </w:rPr>
              <w:t>、</w:t>
            </w:r>
            <w:r>
              <w:rPr>
                <w:rFonts w:eastAsia="楷体_GB2312" w:hint="eastAsia"/>
                <w:color w:val="000000"/>
                <w:kern w:val="0"/>
                <w:szCs w:val="21"/>
                <w:highlight w:val="yellow"/>
              </w:rPr>
              <w:t>20%</w:t>
            </w:r>
            <w:r>
              <w:rPr>
                <w:rFonts w:eastAsia="楷体_GB2312" w:hint="eastAsia"/>
                <w:color w:val="000000"/>
                <w:kern w:val="0"/>
                <w:szCs w:val="21"/>
                <w:highlight w:val="yellow"/>
              </w:rPr>
              <w:t>、</w:t>
            </w:r>
            <w:r>
              <w:rPr>
                <w:rFonts w:eastAsia="楷体_GB2312" w:hint="eastAsia"/>
                <w:color w:val="000000"/>
                <w:kern w:val="0"/>
                <w:szCs w:val="21"/>
                <w:highlight w:val="yellow"/>
              </w:rPr>
              <w:t>0</w:t>
            </w:r>
            <w:r>
              <w:rPr>
                <w:rFonts w:eastAsia="楷体_GB2312" w:hint="eastAsia"/>
                <w:color w:val="000000"/>
                <w:kern w:val="0"/>
                <w:szCs w:val="21"/>
                <w:highlight w:val="yellow"/>
              </w:rPr>
              <w:t>六级权重予以评分</w:t>
            </w:r>
            <w:r>
              <w:rPr>
                <w:rFonts w:eastAsia="楷体_GB2312" w:hint="eastAsia"/>
                <w:color w:val="000000"/>
                <w:kern w:val="0"/>
                <w:szCs w:val="21"/>
                <w:highlight w:val="yellow"/>
              </w:rPr>
              <w:t>。定量指标评分规则：“产出”类每项指标的实际完成值对应预期设定的目标值，完成</w:t>
            </w:r>
            <w:r>
              <w:rPr>
                <w:rFonts w:eastAsia="楷体_GB2312" w:hint="eastAsia"/>
                <w:color w:val="000000"/>
                <w:kern w:val="0"/>
                <w:szCs w:val="21"/>
                <w:highlight w:val="yellow"/>
              </w:rPr>
              <w:t>100%</w:t>
            </w:r>
            <w:r>
              <w:rPr>
                <w:rFonts w:eastAsia="楷体_GB2312" w:hint="eastAsia"/>
                <w:color w:val="000000"/>
                <w:kern w:val="0"/>
                <w:szCs w:val="21"/>
                <w:highlight w:val="yellow"/>
              </w:rPr>
              <w:t>～</w:t>
            </w:r>
            <w:r>
              <w:rPr>
                <w:rFonts w:eastAsia="楷体_GB2312" w:hint="eastAsia"/>
                <w:color w:val="000000"/>
                <w:kern w:val="0"/>
                <w:szCs w:val="21"/>
                <w:highlight w:val="yellow"/>
              </w:rPr>
              <w:t>130%</w:t>
            </w:r>
            <w:r>
              <w:rPr>
                <w:rFonts w:eastAsia="楷体_GB2312" w:hint="eastAsia"/>
                <w:color w:val="000000"/>
                <w:kern w:val="0"/>
                <w:szCs w:val="21"/>
                <w:highlight w:val="yellow"/>
              </w:rPr>
              <w:t>得权重值满分，超过</w:t>
            </w:r>
            <w:r>
              <w:rPr>
                <w:rFonts w:eastAsia="楷体_GB2312" w:hint="eastAsia"/>
                <w:color w:val="000000"/>
                <w:kern w:val="0"/>
                <w:szCs w:val="21"/>
                <w:highlight w:val="yellow"/>
              </w:rPr>
              <w:t>130%</w:t>
            </w:r>
            <w:r>
              <w:rPr>
                <w:rFonts w:eastAsia="楷体_GB2312" w:hint="eastAsia"/>
                <w:color w:val="000000"/>
                <w:kern w:val="0"/>
                <w:szCs w:val="21"/>
                <w:highlight w:val="yellow"/>
              </w:rPr>
              <w:t>的每超过</w:t>
            </w:r>
            <w:r>
              <w:rPr>
                <w:rFonts w:eastAsia="楷体_GB2312" w:hint="eastAsia"/>
                <w:color w:val="000000"/>
                <w:kern w:val="0"/>
                <w:szCs w:val="21"/>
                <w:highlight w:val="yellow"/>
              </w:rPr>
              <w:t>1%</w:t>
            </w:r>
            <w:r>
              <w:rPr>
                <w:rFonts w:eastAsia="楷体_GB2312" w:hint="eastAsia"/>
                <w:color w:val="000000"/>
                <w:kern w:val="0"/>
                <w:szCs w:val="21"/>
                <w:highlight w:val="yellow"/>
              </w:rPr>
              <w:t>扣权重值</w:t>
            </w:r>
            <w:r>
              <w:rPr>
                <w:rFonts w:eastAsia="楷体_GB2312" w:hint="eastAsia"/>
                <w:color w:val="000000"/>
                <w:kern w:val="0"/>
                <w:szCs w:val="21"/>
                <w:highlight w:val="yellow"/>
              </w:rPr>
              <w:t>1%</w:t>
            </w:r>
            <w:r>
              <w:rPr>
                <w:rFonts w:eastAsia="楷体_GB2312" w:hint="eastAsia"/>
                <w:color w:val="000000"/>
                <w:kern w:val="0"/>
                <w:szCs w:val="21"/>
                <w:highlight w:val="yellow"/>
              </w:rPr>
              <w:t>；</w:t>
            </w:r>
            <w:r>
              <w:rPr>
                <w:rFonts w:eastAsia="楷体_GB2312" w:hint="eastAsia"/>
                <w:color w:val="000000"/>
                <w:kern w:val="0"/>
                <w:szCs w:val="21"/>
                <w:highlight w:val="yellow"/>
              </w:rPr>
              <w:t>“决策”、</w:t>
            </w:r>
            <w:r>
              <w:rPr>
                <w:rFonts w:eastAsia="楷体_GB2312" w:hint="eastAsia"/>
                <w:color w:val="000000"/>
                <w:kern w:val="0"/>
                <w:szCs w:val="21"/>
                <w:highlight w:val="yellow"/>
              </w:rPr>
              <w:t>“</w:t>
            </w:r>
            <w:r>
              <w:rPr>
                <w:rFonts w:eastAsia="楷体_GB2312" w:hint="eastAsia"/>
                <w:color w:val="000000"/>
                <w:kern w:val="0"/>
                <w:szCs w:val="21"/>
                <w:highlight w:val="yellow"/>
              </w:rPr>
              <w:t>过程</w:t>
            </w:r>
            <w:r>
              <w:rPr>
                <w:rFonts w:eastAsia="楷体_GB2312" w:hint="eastAsia"/>
                <w:color w:val="000000"/>
                <w:kern w:val="0"/>
                <w:szCs w:val="21"/>
                <w:highlight w:val="yellow"/>
              </w:rPr>
              <w:t>”、</w:t>
            </w:r>
            <w:r>
              <w:rPr>
                <w:rFonts w:eastAsia="楷体_GB2312" w:hint="eastAsia"/>
                <w:color w:val="000000"/>
                <w:kern w:val="0"/>
                <w:szCs w:val="21"/>
                <w:highlight w:val="yellow"/>
              </w:rPr>
              <w:lastRenderedPageBreak/>
              <w:t>“</w:t>
            </w:r>
            <w:r>
              <w:rPr>
                <w:rFonts w:eastAsia="楷体_GB2312" w:hint="eastAsia"/>
                <w:color w:val="000000"/>
                <w:kern w:val="0"/>
                <w:szCs w:val="21"/>
                <w:highlight w:val="yellow"/>
              </w:rPr>
              <w:t>满意度</w:t>
            </w:r>
            <w:r>
              <w:rPr>
                <w:rFonts w:eastAsia="楷体_GB2312" w:hint="eastAsia"/>
                <w:color w:val="000000"/>
                <w:kern w:val="0"/>
                <w:szCs w:val="21"/>
                <w:highlight w:val="yellow"/>
              </w:rPr>
              <w:t>”类指标以</w:t>
            </w:r>
            <w:r>
              <w:rPr>
                <w:rFonts w:eastAsia="楷体_GB2312" w:hint="eastAsia"/>
                <w:color w:val="000000"/>
                <w:kern w:val="0"/>
                <w:szCs w:val="21"/>
                <w:highlight w:val="yellow"/>
              </w:rPr>
              <w:t>100%</w:t>
            </w:r>
            <w:r>
              <w:rPr>
                <w:rFonts w:eastAsia="楷体_GB2312" w:hint="eastAsia"/>
                <w:color w:val="000000"/>
                <w:kern w:val="0"/>
                <w:szCs w:val="21"/>
                <w:highlight w:val="yellow"/>
              </w:rPr>
              <w:t>为满分</w:t>
            </w:r>
            <w:r>
              <w:rPr>
                <w:rFonts w:eastAsia="楷体_GB2312" w:hint="eastAsia"/>
                <w:color w:val="000000"/>
                <w:kern w:val="0"/>
                <w:szCs w:val="21"/>
                <w:highlight w:val="yellow"/>
              </w:rPr>
              <w:t>；</w:t>
            </w:r>
            <w:r>
              <w:rPr>
                <w:rFonts w:eastAsia="楷体_GB2312" w:hint="eastAsia"/>
                <w:color w:val="000000"/>
                <w:kern w:val="0"/>
                <w:szCs w:val="21"/>
                <w:highlight w:val="yellow"/>
              </w:rPr>
              <w:t>“</w:t>
            </w:r>
            <w:r>
              <w:rPr>
                <w:rFonts w:eastAsia="楷体_GB2312" w:hint="eastAsia"/>
                <w:color w:val="000000"/>
                <w:kern w:val="0"/>
                <w:szCs w:val="21"/>
                <w:highlight w:val="yellow"/>
              </w:rPr>
              <w:t>效益</w:t>
            </w:r>
            <w:r>
              <w:rPr>
                <w:rFonts w:eastAsia="楷体_GB2312" w:hint="eastAsia"/>
                <w:color w:val="000000"/>
                <w:kern w:val="0"/>
                <w:szCs w:val="21"/>
                <w:highlight w:val="yellow"/>
              </w:rPr>
              <w:t>”类每项指标的实际完成值对应预期设定的目标值，完成</w:t>
            </w:r>
            <w:r>
              <w:rPr>
                <w:rFonts w:eastAsia="楷体_GB2312" w:hint="eastAsia"/>
                <w:color w:val="000000"/>
                <w:kern w:val="0"/>
                <w:szCs w:val="21"/>
                <w:highlight w:val="yellow"/>
              </w:rPr>
              <w:t>100%</w:t>
            </w:r>
            <w:r>
              <w:rPr>
                <w:rFonts w:eastAsia="楷体_GB2312" w:hint="eastAsia"/>
                <w:color w:val="000000"/>
                <w:kern w:val="0"/>
                <w:szCs w:val="21"/>
                <w:highlight w:val="yellow"/>
              </w:rPr>
              <w:t>～</w:t>
            </w:r>
            <w:r>
              <w:rPr>
                <w:rFonts w:eastAsia="楷体_GB2312" w:hint="eastAsia"/>
                <w:color w:val="000000"/>
                <w:kern w:val="0"/>
                <w:szCs w:val="21"/>
                <w:highlight w:val="yellow"/>
              </w:rPr>
              <w:t>200%</w:t>
            </w:r>
            <w:r>
              <w:rPr>
                <w:rFonts w:eastAsia="楷体_GB2312" w:hint="eastAsia"/>
                <w:color w:val="000000"/>
                <w:kern w:val="0"/>
                <w:szCs w:val="21"/>
                <w:highlight w:val="yellow"/>
              </w:rPr>
              <w:t>得权重值满分，超过</w:t>
            </w:r>
            <w:r>
              <w:rPr>
                <w:rFonts w:eastAsia="楷体_GB2312" w:hint="eastAsia"/>
                <w:color w:val="000000"/>
                <w:kern w:val="0"/>
                <w:szCs w:val="21"/>
                <w:highlight w:val="yellow"/>
              </w:rPr>
              <w:t>200%</w:t>
            </w:r>
            <w:r>
              <w:rPr>
                <w:rFonts w:eastAsia="楷体_GB2312" w:hint="eastAsia"/>
                <w:color w:val="000000"/>
                <w:kern w:val="0"/>
                <w:szCs w:val="21"/>
                <w:highlight w:val="yellow"/>
              </w:rPr>
              <w:t>的每超过</w:t>
            </w:r>
            <w:r>
              <w:rPr>
                <w:rFonts w:eastAsia="楷体_GB2312" w:hint="eastAsia"/>
                <w:color w:val="000000"/>
                <w:kern w:val="0"/>
                <w:szCs w:val="21"/>
                <w:highlight w:val="yellow"/>
              </w:rPr>
              <w:t>1%</w:t>
            </w:r>
            <w:r>
              <w:rPr>
                <w:rFonts w:eastAsia="楷体_GB2312" w:hint="eastAsia"/>
                <w:color w:val="000000"/>
                <w:kern w:val="0"/>
                <w:szCs w:val="21"/>
                <w:highlight w:val="yellow"/>
              </w:rPr>
              <w:t>扣权重值</w:t>
            </w:r>
            <w:r>
              <w:rPr>
                <w:rFonts w:eastAsia="楷体_GB2312" w:hint="eastAsia"/>
                <w:color w:val="000000"/>
                <w:kern w:val="0"/>
                <w:szCs w:val="21"/>
                <w:highlight w:val="yellow"/>
              </w:rPr>
              <w:t>1%</w:t>
            </w:r>
            <w:r>
              <w:rPr>
                <w:rFonts w:eastAsia="楷体_GB2312" w:hint="eastAsia"/>
                <w:color w:val="000000"/>
                <w:kern w:val="0"/>
                <w:szCs w:val="21"/>
                <w:highlight w:val="yellow"/>
              </w:rPr>
              <w:t>；</w:t>
            </w:r>
            <w:r>
              <w:rPr>
                <w:rFonts w:eastAsia="楷体_GB2312" w:hint="eastAsia"/>
                <w:color w:val="000000"/>
                <w:kern w:val="0"/>
                <w:szCs w:val="21"/>
                <w:highlight w:val="yellow"/>
              </w:rPr>
              <w:t>五</w:t>
            </w:r>
            <w:r>
              <w:rPr>
                <w:rFonts w:eastAsia="楷体_GB2312" w:hint="eastAsia"/>
                <w:color w:val="000000"/>
                <w:kern w:val="0"/>
                <w:szCs w:val="21"/>
                <w:highlight w:val="yellow"/>
              </w:rPr>
              <w:t>类指标的所有指标实际完成值每低于目标值</w:t>
            </w:r>
            <w:r>
              <w:rPr>
                <w:rFonts w:eastAsia="楷体_GB2312" w:hint="eastAsia"/>
                <w:color w:val="000000"/>
                <w:kern w:val="0"/>
                <w:szCs w:val="21"/>
                <w:highlight w:val="yellow"/>
              </w:rPr>
              <w:t>1</w:t>
            </w:r>
            <w:r>
              <w:rPr>
                <w:rFonts w:eastAsia="楷体_GB2312" w:hint="eastAsia"/>
                <w:color w:val="000000"/>
                <w:kern w:val="0"/>
                <w:szCs w:val="21"/>
                <w:highlight w:val="yellow"/>
              </w:rPr>
              <w:t>个百分点相应扣减权重值的</w:t>
            </w:r>
            <w:r>
              <w:rPr>
                <w:rFonts w:eastAsia="楷体_GB2312" w:hint="eastAsia"/>
                <w:color w:val="000000"/>
                <w:kern w:val="0"/>
                <w:szCs w:val="21"/>
                <w:highlight w:val="yellow"/>
              </w:rPr>
              <w:t>5%</w:t>
            </w:r>
            <w:r>
              <w:rPr>
                <w:rFonts w:eastAsia="楷体_GB2312" w:hint="eastAsia"/>
                <w:color w:val="000000"/>
                <w:kern w:val="0"/>
                <w:szCs w:val="21"/>
                <w:highlight w:val="yellow"/>
              </w:rPr>
              <w:t>；某项指标无法提供具体数值，且无说明，得</w:t>
            </w:r>
            <w:r>
              <w:rPr>
                <w:rFonts w:eastAsia="楷体_GB2312" w:hint="eastAsia"/>
                <w:color w:val="000000"/>
                <w:kern w:val="0"/>
                <w:szCs w:val="21"/>
                <w:highlight w:val="yellow"/>
              </w:rPr>
              <w:t>0</w:t>
            </w:r>
            <w:r>
              <w:rPr>
                <w:rFonts w:eastAsia="楷体_GB2312" w:hint="eastAsia"/>
                <w:color w:val="000000"/>
                <w:kern w:val="0"/>
                <w:szCs w:val="21"/>
                <w:highlight w:val="yellow"/>
              </w:rPr>
              <w:t>分。</w:t>
            </w:r>
          </w:p>
        </w:tc>
      </w:tr>
      <w:tr w:rsidR="00C6517F">
        <w:trPr>
          <w:trHeight w:val="450"/>
        </w:trPr>
        <w:tc>
          <w:tcPr>
            <w:tcW w:w="8506" w:type="dxa"/>
            <w:gridSpan w:val="8"/>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b/>
                <w:bCs/>
                <w:color w:val="000000"/>
                <w:sz w:val="36"/>
                <w:szCs w:val="36"/>
              </w:rPr>
            </w:pPr>
            <w:r>
              <w:rPr>
                <w:rFonts w:cs="Arial" w:hint="eastAsia"/>
                <w:b/>
                <w:bCs/>
                <w:color w:val="000000"/>
                <w:sz w:val="36"/>
                <w:szCs w:val="36"/>
              </w:rPr>
              <w:lastRenderedPageBreak/>
              <w:t>项目基本情况</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项目概况</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在常熟蒋巷村、吴江太浦河村、昆山长云村与相城莲花村四个基地，围绕太湖流域绿色农业发展，构建从品种选育、土壤培肥、面源治理到生态栽培的绿色生产技术体系，实现农业提质增效与生态可持续发展，具体研究内容如下：1.蒋巷村水稻育种基地：利用分子辅助选择技术缩短绿色生态型水稻品种的育种年限；对于一些高产材料，利用基因编辑技术，定向创建丰富的优质水稻品种，选取相应的等基因系，从而高效利用抗性基因、提高抗病育种的水平。2.在太浦河面源污染控制和土壤培肥基地：平原河网典型农业区域产流产污特征识别。根据太浦河村土地利用现状、高标准农田建设等相关资料，分别对农田区、鱼塘区、河道村落、尾水湿地进行现状踏勘和调查，估算农业面源排水量，同时进行农业面源污染本底监测，确定不同区域农业面源主要污染类型，认识污染物排放的基本特征，通过蓄水阻排、拦污放清等多种措施调度农田退水产生、流向及流量，实现污染物迁移方向的调度。开展稻麦农田有机质提升及绿色生态化生产技术研究示范，制定符合太湖流域稻麦绿色高效生产的相关试验方案，分析可持续提升复垦土地质量、降低农业面源污染风险的稻麦绿色生态生产技术关键要素。3.长云村秸秆资源化基地：在秸秆堆肥过程中添加不同量的氮肥，以其堆肥产物为育秧基质开展育秧，根据秧苗素质确定可用于生产最佳育秧基质的秸秆堆肥氮添加量；在获得最佳氮添加量基础上研究不同堆肥时间的堆肥产物的育秧效果，以获得可用于生产最佳育秧基质的秸秆堆肥工艺。4.莲花岛绿色生态水稻生产基地：水稻－油菜（绿肥）轮作模式研究。在现有研究成果的基础上，研究水稻—油菜（紫云英）茬口安排，紫云英品种选择、栽培管理、秸秆还田、绿肥翻埋等技术。形成轮作休耕模式下紫云英和稻草联合还田的技术方案。</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项目总目标</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以农业面源污染防控、生态循环农业提升、生物多样性农业推广等绿色生态农业技术应用与示范为抓手，促进我市农业农村高质量发展。</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年度绩效目标</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基本完成吴江横扇太浦河村农业面源污染控制科研示范基地、昆山锦溪长云村生态循环农业科研示范基地、常熟支塘蒋巷村生物多样性农业科研示范基地、相城阳澄湖莲花岛绿色生态农业示范基地的建设。</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项目实施情况</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于2025年1月正式启动，与南京水利科学研究院等承担单位签订了项目合作协议，明确了各方职责与经费安排。项目组随即组织多学科团队对常熟蒋巷村、吴江太浦河村、昆山长云村及相城莲花村四个示范基地开展了系统性本底调研，完成了土壤、水体基础数据采集与种植结构调查。2025年3月，项目组召开了实施方案专家论证会，邀请农业生态、水稻育种、面源污染控制等领域专家对技术路线进行了评审与优化，方案于当月通过审定并进入全面实施阶段。实施期间，项目严格按进度推进：1-3月完成方案编制与本底监测；3-6月开展水稻育种材料播种、秸秆堆肥试验、生态沟渠建设及面源污染监测设备布设；6-9月进行田间管理、数据动态采集与技术培训；9-12月完成样品采集、测产验收与数据分析。项目执行过程中建立了月度协调会机制，及时解决跨单位协作与技术衔接问题，确保各项任务同步推进。</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项目管理成效</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实施期内，组织开展四次现场观摩与专题培训，有效提升了农户的实操能力。以此为驱动，项目主推技术在核心示范基地的应用覆盖率稳定超过75%，实现了技术的有效落地。这一系列举措直接带动参与的经营主体实现年均综合经营收益5%的同比增长，显著体现了项目的经济赋能价值。同时，项目注重成果总结与宣传，累计发表相关技术成果、示范成效或进展报道四篇次，形成了良好的辐射效应。项目开展的调查显示，参与培训及技术服务的经营主体对项目实施的总体满意度达到90%，充分验证了项目组织与执行的有效性，获得了服务对象的高度认可。通过本项目的实施，有效提升了苏州市绿色生态农业的发展水平。项目围绕水稻品种选育、施肥过程优化、面源污染阻控及农业废弃物资源化利用等关键环节，实现了全链条技术集成与示范应用，为苏州生态环境建设与“科技强农”战略的推进奠定了扎实基础。</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项目管理存在的问题及原因</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在四个基地同步部署了育种、污染治理、土壤培肥、秸秆利用、生态种植等具体任务，涵盖领域过宽，可能导致资源分散。项目涉及水科院、职业技术学院及企业等多单位，人员背景差异大，但方案中未见跨机构协同管理机制，数据标准不一致，难以形成具有统一管理的体系。</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进一步加强项目管理的建议</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设立实体化或常态化的项目联系人，由牵头单位负责总体协调。制定统一的数据采集、监测标准与共享协议，并设立定期（如每季度）的跨学科进度协调与学术研讨会，强制进行成果交叉整合，明确联合成果（如技术规程、论文、专利）的署名与利益分配原则。</w:t>
            </w:r>
          </w:p>
        </w:tc>
      </w:tr>
      <w:tr w:rsidR="00C6517F">
        <w:trPr>
          <w:hidden/>
        </w:trPr>
        <w:tc>
          <w:tcPr>
            <w:tcW w:w="1547"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84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1319"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r>
    </w:tbl>
    <w:p w:rsidR="00C6517F" w:rsidRDefault="00C6517F"/>
    <w:p w:rsidR="00C6517F" w:rsidRDefault="00C6517F"/>
    <w:sectPr w:rsidR="00C6517F" w:rsidSect="00C6517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0076" w:rsidRDefault="002C0076" w:rsidP="00891A00">
      <w:r>
        <w:separator/>
      </w:r>
    </w:p>
  </w:endnote>
  <w:endnote w:type="continuationSeparator" w:id="1">
    <w:p w:rsidR="002C0076" w:rsidRDefault="002C0076" w:rsidP="00891A00">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0076" w:rsidRDefault="002C0076" w:rsidP="00891A00">
      <w:r>
        <w:separator/>
      </w:r>
    </w:p>
  </w:footnote>
  <w:footnote w:type="continuationSeparator" w:id="1">
    <w:p w:rsidR="002C0076" w:rsidRDefault="002C0076" w:rsidP="00891A0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7DAE"/>
    <w:rsid w:val="000227CC"/>
    <w:rsid w:val="00027583"/>
    <w:rsid w:val="0005797A"/>
    <w:rsid w:val="000A753F"/>
    <w:rsid w:val="000D6913"/>
    <w:rsid w:val="00135BA0"/>
    <w:rsid w:val="00146D27"/>
    <w:rsid w:val="00154572"/>
    <w:rsid w:val="001650C6"/>
    <w:rsid w:val="001865A9"/>
    <w:rsid w:val="001A45C6"/>
    <w:rsid w:val="00210D2C"/>
    <w:rsid w:val="0027417E"/>
    <w:rsid w:val="00277E96"/>
    <w:rsid w:val="00295EA9"/>
    <w:rsid w:val="002C0076"/>
    <w:rsid w:val="002F132B"/>
    <w:rsid w:val="00320B72"/>
    <w:rsid w:val="003309F6"/>
    <w:rsid w:val="003311D3"/>
    <w:rsid w:val="00371193"/>
    <w:rsid w:val="003D5254"/>
    <w:rsid w:val="00421DBC"/>
    <w:rsid w:val="00422096"/>
    <w:rsid w:val="00444045"/>
    <w:rsid w:val="00465368"/>
    <w:rsid w:val="00477DDF"/>
    <w:rsid w:val="00507C7E"/>
    <w:rsid w:val="005365FF"/>
    <w:rsid w:val="005530C8"/>
    <w:rsid w:val="005A4855"/>
    <w:rsid w:val="005B3C15"/>
    <w:rsid w:val="00610E39"/>
    <w:rsid w:val="0063349A"/>
    <w:rsid w:val="0063730A"/>
    <w:rsid w:val="00655009"/>
    <w:rsid w:val="00687228"/>
    <w:rsid w:val="006B065A"/>
    <w:rsid w:val="006B6173"/>
    <w:rsid w:val="006E5E74"/>
    <w:rsid w:val="00740A71"/>
    <w:rsid w:val="007471FF"/>
    <w:rsid w:val="007615B8"/>
    <w:rsid w:val="007615EF"/>
    <w:rsid w:val="0077550F"/>
    <w:rsid w:val="007905BA"/>
    <w:rsid w:val="007D410D"/>
    <w:rsid w:val="007E2F8B"/>
    <w:rsid w:val="00857DAE"/>
    <w:rsid w:val="00891A00"/>
    <w:rsid w:val="008B69AC"/>
    <w:rsid w:val="0099571D"/>
    <w:rsid w:val="009B2F6A"/>
    <w:rsid w:val="009D2066"/>
    <w:rsid w:val="009D57D9"/>
    <w:rsid w:val="00A566D2"/>
    <w:rsid w:val="00A63BDD"/>
    <w:rsid w:val="00A8579E"/>
    <w:rsid w:val="00A919F2"/>
    <w:rsid w:val="00A970CD"/>
    <w:rsid w:val="00AB1312"/>
    <w:rsid w:val="00AB15D9"/>
    <w:rsid w:val="00AE42C0"/>
    <w:rsid w:val="00B10E19"/>
    <w:rsid w:val="00B15E35"/>
    <w:rsid w:val="00B6380C"/>
    <w:rsid w:val="00B869C7"/>
    <w:rsid w:val="00B948BC"/>
    <w:rsid w:val="00BE0B02"/>
    <w:rsid w:val="00BF549A"/>
    <w:rsid w:val="00C10620"/>
    <w:rsid w:val="00C37A85"/>
    <w:rsid w:val="00C6517F"/>
    <w:rsid w:val="00C87E85"/>
    <w:rsid w:val="00C9508A"/>
    <w:rsid w:val="00CD2CA9"/>
    <w:rsid w:val="00CE3F84"/>
    <w:rsid w:val="00CE6115"/>
    <w:rsid w:val="00CF3DEA"/>
    <w:rsid w:val="00D159A7"/>
    <w:rsid w:val="00D74E9C"/>
    <w:rsid w:val="00DC3C89"/>
    <w:rsid w:val="00DF4CEA"/>
    <w:rsid w:val="00E2688E"/>
    <w:rsid w:val="00E504B2"/>
    <w:rsid w:val="00E632B8"/>
    <w:rsid w:val="00E86A5D"/>
    <w:rsid w:val="00E9615F"/>
    <w:rsid w:val="00EA1C55"/>
    <w:rsid w:val="00EA7D5C"/>
    <w:rsid w:val="00EC507F"/>
    <w:rsid w:val="00F051B3"/>
    <w:rsid w:val="00F66D21"/>
    <w:rsid w:val="00F74F9B"/>
    <w:rsid w:val="00FD578E"/>
    <w:rsid w:val="2F5B2A08"/>
    <w:rsid w:val="5AE70A1F"/>
    <w:rsid w:val="70126D1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17F"/>
    <w:pPr>
      <w:widowControl w:val="0"/>
      <w:jc w:val="both"/>
    </w:pPr>
    <w:rPr>
      <w:rFonts w:ascii="Calibri" w:eastAsia="宋体" w:hAnsi="Calibri" w:cs="Times New Roman"/>
      <w:kern w:val="2"/>
      <w:sz w:val="21"/>
      <w:szCs w:val="22"/>
    </w:rPr>
  </w:style>
  <w:style w:type="paragraph" w:styleId="2">
    <w:name w:val="heading 2"/>
    <w:basedOn w:val="a"/>
    <w:next w:val="a"/>
    <w:link w:val="2Char"/>
    <w:uiPriority w:val="9"/>
    <w:semiHidden/>
    <w:unhideWhenUsed/>
    <w:qFormat/>
    <w:rsid w:val="00C6517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C6517F"/>
    <w:pPr>
      <w:tabs>
        <w:tab w:val="center" w:pos="4153"/>
        <w:tab w:val="right" w:pos="8306"/>
      </w:tabs>
      <w:snapToGrid w:val="0"/>
      <w:jc w:val="left"/>
    </w:pPr>
    <w:rPr>
      <w:sz w:val="18"/>
      <w:szCs w:val="18"/>
    </w:rPr>
  </w:style>
  <w:style w:type="paragraph" w:styleId="a4">
    <w:name w:val="header"/>
    <w:basedOn w:val="a"/>
    <w:link w:val="Char0"/>
    <w:uiPriority w:val="99"/>
    <w:unhideWhenUsed/>
    <w:rsid w:val="00C6517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6517F"/>
    <w:rPr>
      <w:sz w:val="18"/>
      <w:szCs w:val="18"/>
    </w:rPr>
  </w:style>
  <w:style w:type="character" w:customStyle="1" w:styleId="Char">
    <w:name w:val="页脚 Char"/>
    <w:basedOn w:val="a0"/>
    <w:link w:val="a3"/>
    <w:uiPriority w:val="99"/>
    <w:rsid w:val="00C6517F"/>
    <w:rPr>
      <w:sz w:val="18"/>
      <w:szCs w:val="18"/>
    </w:rPr>
  </w:style>
  <w:style w:type="character" w:customStyle="1" w:styleId="4Char">
    <w:name w:val="闻政标题4 Char"/>
    <w:link w:val="4"/>
    <w:qFormat/>
    <w:locked/>
    <w:rsid w:val="00C6517F"/>
    <w:rPr>
      <w:rFonts w:ascii="仿宋_GB2312" w:eastAsia="仿宋_GB2312"/>
      <w:b/>
      <w:bCs/>
      <w:sz w:val="28"/>
      <w:szCs w:val="32"/>
    </w:rPr>
  </w:style>
  <w:style w:type="paragraph" w:customStyle="1" w:styleId="4">
    <w:name w:val="闻政标题4"/>
    <w:basedOn w:val="2"/>
    <w:link w:val="4Char"/>
    <w:qFormat/>
    <w:rsid w:val="00C6517F"/>
    <w:pPr>
      <w:spacing w:before="120" w:after="60" w:line="500" w:lineRule="exact"/>
      <w:ind w:firstLineChars="200" w:firstLine="200"/>
      <w:jc w:val="left"/>
    </w:pPr>
    <w:rPr>
      <w:rFonts w:ascii="仿宋_GB2312" w:eastAsia="仿宋_GB2312" w:hAnsiTheme="minorHAnsi" w:cstheme="minorBidi"/>
      <w:sz w:val="28"/>
    </w:rPr>
  </w:style>
  <w:style w:type="character" w:customStyle="1" w:styleId="2Char">
    <w:name w:val="标题 2 Char"/>
    <w:basedOn w:val="a0"/>
    <w:link w:val="2"/>
    <w:uiPriority w:val="9"/>
    <w:semiHidden/>
    <w:rsid w:val="00C6517F"/>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otnotes.xml" Type="http://schemas.openxmlformats.org/officeDocument/2006/relationships/footnotes"/>
<Relationship Id="rId5" Target="endnotes.xml" Type="http://schemas.openxmlformats.org/officeDocument/2006/relationships/endnotes"/>
<Relationship Id="rId6" Target="fontTable.xml" Type="http://schemas.openxmlformats.org/officeDocument/2006/relationships/fontTable"/>
<Relationship Id="rId7" Target="theme/theme1.xml" Type="http://schemas.openxmlformats.org/officeDocument/2006/relationships/them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228</Words>
  <Characters>1306</Characters>
  <Application>Microsoft Office Word</Application>
  <DocSecurity>0</DocSecurity>
  <Lines>10</Lines>
  <Paragraphs>3</Paragraphs>
  <ScaleCrop>false</ScaleCrop>
  <Company>MS</Company>
  <LinksUpToDate>false</LinksUpToDate>
  <CharactersWithSpaces>1531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2022-01-12T10:53:00Z</dcterms:created>
  <dc:creator>成 王</dc:creator>
  <cp:lastModifiedBy>XZOS</cp:lastModifiedBy>
  <dcterms:modified xsi:type="dcterms:W3CDTF">2026-03-16T01:32:00Z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eyJoZGlkIjoiMmVmMTQ4NTZkNTIwMmU5ZDBhYTZhYjI1NWVjNGI1Y2IiLCJ1c2VySWQiOiIyMjg1MzQ1OTUifQ==</vt:lpwstr>
  </property>
  <property fmtid="{D5CDD505-2E9C-101B-9397-08002B2CF9AE}" pid="3" name="KSOProductBuildVer">
    <vt:lpwstr>2052-12.1.0.25225</vt:lpwstr>
  </property>
  <property fmtid="{D5CDD505-2E9C-101B-9397-08002B2CF9AE}" pid="4" name="ICV">
    <vt:lpwstr>9F669C4FED13413589140FF1E65A5D7A_12</vt:lpwstr>
  </property>
</Properties>
</file>