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8D7DC1">
      <w:pPr>
        <w:rPr>
          <w:rFonts w:eastAsia="仿宋_GB2312"/>
          <w:sz w:val="30"/>
        </w:rPr>
      </w:pPr>
    </w:p>
    <w:p w14:paraId="2A6F3B9F">
      <w:pPr>
        <w:spacing w:line="360" w:lineRule="auto"/>
        <w:jc w:val="center"/>
        <w:rPr>
          <w:rFonts w:ascii="黑体" w:hAnsi="黑体" w:eastAsia="黑体"/>
          <w:sz w:val="32"/>
          <w:szCs w:val="32"/>
        </w:rPr>
      </w:pPr>
      <w:r>
        <w:rPr>
          <w:rFonts w:hint="eastAsia" w:ascii="黑体" w:hAnsi="黑体" w:eastAsia="黑体"/>
          <w:sz w:val="32"/>
          <w:szCs w:val="32"/>
        </w:rPr>
        <w:t>苏州市市级预算部门（单位）整体支出预算绩效自评报告</w:t>
      </w:r>
    </w:p>
    <w:p w14:paraId="4A05E983">
      <w:pPr>
        <w:spacing w:line="360" w:lineRule="auto"/>
        <w:jc w:val="center"/>
        <w:rPr>
          <w:rFonts w:ascii="黑体" w:eastAsia="黑体"/>
          <w:sz w:val="32"/>
          <w:szCs w:val="32"/>
        </w:rPr>
      </w:pPr>
      <w:r>
        <w:rPr>
          <w:rFonts w:hint="eastAsia" w:ascii="黑体" w:eastAsia="黑体"/>
          <w:sz w:val="32"/>
          <w:szCs w:val="32"/>
        </w:rPr>
        <w:t>（202</w:t>
      </w:r>
      <w:r>
        <w:rPr>
          <w:rFonts w:hint="eastAsia" w:ascii="黑体" w:eastAsia="黑体"/>
          <w:sz w:val="32"/>
          <w:szCs w:val="32"/>
          <w:lang w:val="en-US" w:eastAsia="zh-CN"/>
        </w:rPr>
        <w:t>5</w:t>
      </w:r>
      <w:bookmarkStart w:id="0" w:name="_GoBack"/>
      <w:bookmarkEnd w:id="0"/>
      <w:r>
        <w:rPr>
          <w:rFonts w:hint="eastAsia" w:ascii="黑体" w:eastAsia="黑体"/>
          <w:sz w:val="32"/>
          <w:szCs w:val="32"/>
        </w:rPr>
        <w:t>年度）</w:t>
      </w:r>
    </w:p>
    <w:p w14:paraId="2D0D461F">
      <w:pPr>
        <w:spacing w:line="360" w:lineRule="auto"/>
        <w:jc w:val="center"/>
        <w:rPr>
          <w:rFonts w:eastAsia="仿宋_GB2312"/>
          <w:sz w:val="30"/>
        </w:rPr>
      </w:pPr>
    </w:p>
    <w:p w14:paraId="0B85D768">
      <w:pPr>
        <w:spacing w:line="360" w:lineRule="auto"/>
        <w:ind w:firstLine="600" w:firstLineChars="200"/>
        <w:rPr>
          <w:rFonts w:ascii="黑体" w:hAnsi="黑体" w:eastAsia="黑体"/>
          <w:sz w:val="30"/>
        </w:rPr>
      </w:pPr>
      <w:r>
        <w:rPr>
          <w:rFonts w:hint="eastAsia" w:ascii="黑体" w:hAnsi="黑体" w:eastAsia="黑体"/>
          <w:sz w:val="30"/>
        </w:rPr>
        <w:t>一、预算部门名称：</w:t>
      </w:r>
      <w:r>
        <w:rPr>
          <w:rFonts w:hint="eastAsia" w:ascii="宋体" w:hAnsi="宋体" w:cs="宋体"/>
          <w:sz w:val="24"/>
        </w:rPr>
        <w:t>苏州市农业科学院</w:t>
      </w:r>
    </w:p>
    <w:p w14:paraId="58F772EF">
      <w:pPr>
        <w:spacing w:line="360" w:lineRule="auto"/>
        <w:ind w:firstLine="600" w:firstLineChars="200"/>
        <w:rPr>
          <w:rFonts w:ascii="黑体" w:hAnsi="黑体" w:eastAsia="黑体"/>
          <w:sz w:val="30"/>
        </w:rPr>
      </w:pPr>
      <w:r>
        <w:rPr>
          <w:rFonts w:hint="eastAsia" w:ascii="黑体" w:hAnsi="黑体" w:eastAsia="黑体"/>
          <w:sz w:val="30"/>
        </w:rPr>
        <w:t>二、</w:t>
      </w:r>
      <w:r>
        <w:rPr>
          <w:rFonts w:ascii="黑体" w:hAnsi="黑体" w:eastAsia="黑体"/>
          <w:sz w:val="30"/>
        </w:rPr>
        <w:t>年度履职目标完成情况</w:t>
      </w:r>
      <w:r>
        <w:rPr>
          <w:rFonts w:hint="eastAsia" w:ascii="黑体" w:hAnsi="黑体" w:eastAsia="黑体"/>
          <w:sz w:val="30"/>
        </w:rPr>
        <w:t>：</w:t>
      </w:r>
    </w:p>
    <w:p w14:paraId="612F7DFF">
      <w:pPr>
        <w:spacing w:line="360" w:lineRule="auto"/>
        <w:ind w:firstLine="480" w:firstLineChars="200"/>
        <w:rPr>
          <w:rFonts w:ascii="宋体" w:hAnsi="宋体" w:cs="宋体"/>
          <w:sz w:val="24"/>
        </w:rPr>
      </w:pPr>
      <w:r>
        <w:rPr>
          <w:rFonts w:hint="eastAsia" w:ascii="宋体" w:hAnsi="宋体" w:cs="宋体"/>
          <w:sz w:val="24"/>
        </w:rPr>
        <w:t>（一）科技创新多点突破，成果产出量质齐升。项目申报与经费保障成效显著。全院紧扣国家、省、市科技政策导向，72个项目成功立项，其中“土壤线虫通过植物挥发物调控地上害虫趋性行为的机制研究”，成功获得国家自然科学基金青年项目（C类）支持。品种选育与知识产权成果丰硕。审定农作物品种4个，“苏粳1180”“苏粳2056”“苏粳3378”“苏油1908”“苏银油3号”“苏芥2号”“苏翠801”7个新品种成功获得授权；授权国家专利10件（含发明专利4件），登记软著2个。苏（香）粳系列水稻品种年推广面积超10万亩；14个品种入选苏州市农业主推品种，品种创新能力与示范推广成效显著。技术创新与成果申报成绩突出。5项技术列入苏州市农业主推技术，2项技术入选苏州市“十四五”农业科技重点成果。2项技术经省级鉴定达到国内领先水平；1项技术通过省级鉴定达国际先进水平；以第二完成单位申报江苏省科技进步奖并完成公示。平台建设能级持续提升。新增苏州市人工智能创新应用实验室、苏州市数据创新应用实验室、苏州市耕地质量监测与保育重点实验室3个市级科研平台；农业农村部土壤质量苏州野外科学观测研究站顺利完成更名，高质量完成各类监测数据上传工作；科研平台体系不断完善，核心支撑能力进一步增强。（二）科技服务精准发力，赋能乡村全面振兴。联盟建设与基层服务不断深化。贯彻落实苏州科技强农大会精神，建强苏州市农业科技创新联盟，制定出台《苏州市农业科技创新联盟2025年度实施方案》，完善联盟组织架构、深化产学研深度融合，召开联盟理事单位年会，联盟成员单位扩容至70家，7项农业产业专题调研课题获批立项，新组建2个农业科技创新联合体，2个科技创新示范基地纳入预培育名录，联盟作用日益彰显。主动对接乡村振兴“一县一片”建设和区域农业综合服务中心建设工作要求，与市县农业主管部门构建科技服务协同机制，在常熟、相城、昆山等地实施“绿色生态农业科研示范基地项目”，相关工作成效获省级媒体报道，基层服务覆盖面和影响力持续扩大。技术推广与培训赋能实效明显。依托亚夫科技服务体系，国家油菜、大宗蔬菜综合试验站等平台载体，开展科技服务1000多人次，组织技术培训、现场观摩活动35场。充分发挥农业技能培训主阵地作用，承办省级、县级高素质农民培训班18期，培训学员1100余人，有效夯实新农人培育基础，助力农业社会化服务体系提档构建。区域合作与成果转化深度推进。成功承办中国作物学会油料作物专业委员会第九次会员代表大会暨2025年学术年会，7位院士受邀作主旨报告，700多位代表参会交流，市政府查颖冬副市长、省农科院陈新副院长出席并致辞。作为长三角科技创新联合体轮值主席单位，牵头举办“创新发展、科技强农”成果现场观摩会，集中展示优质蔬菜新品种50个。完成“苏粳1619”“苏油1908”等5个新品种的品种权转让或实施许可。深化苏州—宿迁农业科研对口合作，聚焦水稻育种、蟹塘生态调控、功能食用菌等重点领域，扎实推进成果共享与技术联合攻关。（三）人才队伍优化升级，发展活力持续增强。人才引培成效突出。精准对接学科发展需求，靶向引进紧缺专业博士研究生、学科带头人（研究员）共6名。新增“省333人才”1名，2人晋升研究员、1人晋升正高级农艺师、19名专技人员完成岗位晋级，全院人才队伍的专业层次与综合素养持续提升。人才培养机制不断完善。1名博士挂职市农业农村局副处长，1名博士入选省科技镇长团担任副团长，1名研究员选派为乡村振兴“第一书记”，1人在职攻读茶学博士学位。团队建设提质增效。优化学科团队布局，积极筹建茶学、合成生物学创新团队，引进茶学、合成生物学方向博士2名；推动现代都市农业、数智农业等新兴学科团队逐步凝练形成核心竞争力，团队协作创新能力显著增强。（四）党建引领凝聚合力，政治生态持续向好。党建工作规范化提升。扎实开展深入贯彻中央八项规定精神学习教育，开展主题党日活动12次，组织廉政警示教育2场，通报典型案例3起，开展廉政谈话90余人次，党组织凝聚力和战斗力不断增强。党风廉政建设持续深化。召开党风廉政建设大会，与支部书记、部门负责人签订责任书，压紧压实工作责任；开展廉政风险排查，制定防控措施，完善制度机制，有效防范廉政风险；加强廉洁文化建设，开展“诵清廉故事 扬清风正气”教育月活动；强化日常监督，规范选人用人、物资采购、经费使用、基建项目等重点领域管理；坚持以案示警，强化教育管理，筑牢党员干部拒腐防变的思想防线。宣传与文化建设成效显著。</w:t>
      </w:r>
    </w:p>
    <w:p w14:paraId="5F3839C4">
      <w:pPr>
        <w:spacing w:line="360" w:lineRule="auto"/>
        <w:ind w:left="600"/>
        <w:rPr>
          <w:rFonts w:ascii="黑体" w:hAnsi="黑体" w:eastAsia="黑体"/>
          <w:sz w:val="30"/>
        </w:rPr>
      </w:pPr>
      <w:r>
        <w:rPr>
          <w:rFonts w:hint="eastAsia" w:ascii="黑体" w:hAnsi="黑体" w:eastAsia="黑体"/>
          <w:sz w:val="30"/>
        </w:rPr>
        <w:t>三、部门（单位）概况</w:t>
      </w:r>
    </w:p>
    <w:p w14:paraId="7D338969">
      <w:pPr>
        <w:spacing w:line="360" w:lineRule="auto"/>
        <w:ind w:firstLine="480" w:firstLineChars="200"/>
        <w:rPr>
          <w:rFonts w:ascii="宋体" w:hAnsi="宋体" w:cs="宋体"/>
          <w:sz w:val="24"/>
        </w:rPr>
      </w:pPr>
      <w:r>
        <w:rPr>
          <w:rFonts w:hint="eastAsia" w:ascii="宋体" w:hAnsi="宋体" w:cs="宋体"/>
          <w:sz w:val="24"/>
        </w:rPr>
        <w:t>本单位创建于1950年5月，1983年进入江苏省农业科技创新体系，为苏州市人民政府直属正处级建制的公益一类事业单位，增挂“江苏太湖地区农业科学研究所”牌子。主要职能是承担国家、省、市农业科研项目，主要在水稻、油菜、蔬菜、荷花等新品种引进、选育与高效安全技术示范推广，农业资源高效利用、生态环境保护，农业休闲、观赏性园林植物养护，农产品保鲜、贮藏、加工，高新技术引进与集成创新等领域开展应用基础研究与成果转化推广工作，为太湖地区特别是苏州市农业和农村经济发展提供成果保证和技术支撑。本单位共设12个内设机构，包括：办公室、科技人才处、财务处、后勤服务处、农业资源与环境研究所、现代都市农业研究所、粮油作物研究所、数智农业研究所、农产品加工与质量安全研究所、蔬菜研究所、土壤质量观测试验站、中心实验室（检测评价鉴定技术中心）。本单位的人员配置：全额事业编制117个，公益性岗位编制4名，2025年末实际用编人数109人，公益性岗位2人。</w:t>
      </w:r>
    </w:p>
    <w:p w14:paraId="201729EA">
      <w:pPr>
        <w:spacing w:line="360" w:lineRule="auto"/>
        <w:ind w:left="600"/>
        <w:rPr>
          <w:rFonts w:ascii="黑体" w:hAnsi="黑体" w:eastAsia="黑体"/>
          <w:sz w:val="30"/>
        </w:rPr>
      </w:pPr>
      <w:r>
        <w:rPr>
          <w:rFonts w:hint="eastAsia" w:ascii="黑体" w:hAnsi="黑体" w:eastAsia="黑体"/>
          <w:sz w:val="30"/>
        </w:rPr>
        <w:t>四、部门</w:t>
      </w:r>
      <w:r>
        <w:rPr>
          <w:rFonts w:ascii="黑体" w:hAnsi="黑体" w:eastAsia="黑体"/>
          <w:sz w:val="30"/>
        </w:rPr>
        <w:t>（</w:t>
      </w:r>
      <w:r>
        <w:rPr>
          <w:rFonts w:hint="eastAsia" w:ascii="黑体" w:hAnsi="黑体" w:eastAsia="黑体"/>
          <w:sz w:val="30"/>
        </w:rPr>
        <w:t>单位</w:t>
      </w:r>
      <w:r>
        <w:rPr>
          <w:rFonts w:ascii="黑体" w:hAnsi="黑体" w:eastAsia="黑体"/>
          <w:sz w:val="30"/>
        </w:rPr>
        <w:t>）</w:t>
      </w:r>
      <w:r>
        <w:rPr>
          <w:rFonts w:hint="eastAsia" w:ascii="黑体" w:hAnsi="黑体" w:eastAsia="黑体"/>
          <w:sz w:val="30"/>
        </w:rPr>
        <w:t>整体支出绩效实现情况</w:t>
      </w:r>
    </w:p>
    <w:p w14:paraId="7D81C34A">
      <w:pPr>
        <w:spacing w:line="360" w:lineRule="auto"/>
        <w:ind w:firstLine="480" w:firstLineChars="200"/>
        <w:rPr>
          <w:rFonts w:ascii="宋体" w:hAnsi="宋体" w:cs="宋体"/>
          <w:sz w:val="24"/>
        </w:rPr>
      </w:pPr>
      <w:r>
        <w:rPr>
          <w:rFonts w:hint="eastAsia" w:ascii="宋体" w:hAnsi="宋体" w:cs="宋体"/>
          <w:sz w:val="24"/>
        </w:rPr>
        <w:t>2025年度全年支出年初预算6753.80万元，调整预算数为9110.59万元，实际支出8984.17万元，预算执行率为98.61%。 2025年度基本支出年初预算4695.50万元，调整预算数为5556.61万元，实际支出5556.61万元，预算执行率为100%。2025年度项目支出年初预算2258.30万元，调整预算数为3553.98万元，实际支出3427.56万元，预算执行率为96.44%。总共10个项目，其中科研项目经费、专项租赁费、专项委托业务费、房屋维修维护费、设备维修维护费和农业绿色发展科研示范项目6个项目的预算执行率都为100%。设备购置、物业管理费、专项工作经费和苏州市农业科学院新发展规划农业基础设施建设工程4个项目的执行率都在92%—99%之间。</w:t>
      </w:r>
    </w:p>
    <w:p w14:paraId="1B2DC329">
      <w:pPr>
        <w:spacing w:line="360" w:lineRule="auto"/>
        <w:ind w:left="600"/>
        <w:rPr>
          <w:rFonts w:ascii="黑体" w:hAnsi="黑体" w:eastAsia="黑体"/>
          <w:sz w:val="30"/>
        </w:rPr>
      </w:pPr>
      <w:r>
        <w:rPr>
          <w:rFonts w:hint="eastAsia" w:ascii="黑体" w:hAnsi="黑体" w:eastAsia="黑体"/>
          <w:sz w:val="30"/>
        </w:rPr>
        <w:t>五、部门</w:t>
      </w:r>
      <w:r>
        <w:rPr>
          <w:rFonts w:ascii="黑体" w:hAnsi="黑体" w:eastAsia="黑体"/>
          <w:sz w:val="30"/>
        </w:rPr>
        <w:t>（</w:t>
      </w:r>
      <w:r>
        <w:rPr>
          <w:rFonts w:hint="eastAsia" w:ascii="黑体" w:hAnsi="黑体" w:eastAsia="黑体"/>
          <w:sz w:val="30"/>
        </w:rPr>
        <w:t>单位</w:t>
      </w:r>
      <w:r>
        <w:rPr>
          <w:rFonts w:ascii="黑体" w:hAnsi="黑体" w:eastAsia="黑体"/>
          <w:sz w:val="30"/>
        </w:rPr>
        <w:t>）</w:t>
      </w:r>
      <w:r>
        <w:rPr>
          <w:rFonts w:hint="eastAsia" w:ascii="黑体" w:hAnsi="黑体" w:eastAsia="黑体"/>
          <w:sz w:val="30"/>
        </w:rPr>
        <w:t>整体支出绩效中存</w:t>
      </w:r>
      <w:r>
        <w:rPr>
          <w:rFonts w:ascii="黑体" w:hAnsi="黑体" w:eastAsia="黑体"/>
          <w:sz w:val="30"/>
        </w:rPr>
        <w:t>在问题</w:t>
      </w:r>
      <w:r>
        <w:rPr>
          <w:rFonts w:hint="eastAsia" w:ascii="黑体" w:hAnsi="黑体" w:eastAsia="黑体"/>
          <w:sz w:val="30"/>
        </w:rPr>
        <w:t>及</w:t>
      </w:r>
      <w:r>
        <w:rPr>
          <w:rFonts w:ascii="黑体" w:hAnsi="黑体" w:eastAsia="黑体"/>
          <w:sz w:val="30"/>
        </w:rPr>
        <w:t>改进措施</w:t>
      </w:r>
    </w:p>
    <w:p w14:paraId="626F8FAD">
      <w:pPr>
        <w:spacing w:line="360" w:lineRule="auto"/>
        <w:ind w:firstLine="480" w:firstLineChars="200"/>
        <w:rPr>
          <w:rFonts w:ascii="宋体" w:hAnsi="宋体" w:cs="宋体"/>
          <w:sz w:val="24"/>
        </w:rPr>
      </w:pPr>
      <w:r>
        <w:rPr>
          <w:rFonts w:hint="eastAsia" w:ascii="宋体" w:hAnsi="宋体" w:cs="宋体"/>
          <w:sz w:val="24"/>
        </w:rPr>
        <w:t>（一）物业管理费的预算执行率96.35%，主要原因是物业管理费通过公开招标进行采购，实际采购金额比预算金额少，节约了财政资金。项目的预算执行率未达到100%，并非未能完成项目，而是在完成项目的基础上节约了财政资金，希望对这类节约资金的项目绩效指标进行优化。（二）苏州市农业科学院新发展规划农业基础设施建设工程的预算执行率为96.85%，主要原因是该项目启动较晚导致整体支付进度偏慢，需要分年度支付，年中调减预算124.87万元，年末根据工程量也未能全部付完。（三）专项工作经费的预算执行率为98.42%，主要原因是专项工作经费的非政府采购部分支出没有用完，今后加强项目中政采与非政采的预算安排。（四）设备购置的预算执行率92.70%，主要原因是电脑国产化更新由相关部门直接发放，单位无需自行购买，调剂采购其他设备后还有结余。</w:t>
      </w:r>
    </w:p>
    <w:p w14:paraId="088B966C">
      <w:pPr>
        <w:spacing w:line="360" w:lineRule="auto"/>
        <w:ind w:left="600"/>
        <w:rPr>
          <w:rFonts w:ascii="黑体" w:hAnsi="黑体" w:eastAsia="黑体"/>
          <w:sz w:val="30"/>
        </w:rPr>
      </w:pPr>
      <w:r>
        <w:rPr>
          <w:rFonts w:hint="eastAsia" w:ascii="黑体" w:hAnsi="黑体" w:eastAsia="黑体"/>
          <w:sz w:val="30"/>
        </w:rPr>
        <w:t>六、</w:t>
      </w:r>
      <w:r>
        <w:rPr>
          <w:rFonts w:ascii="黑体" w:hAnsi="黑体" w:eastAsia="黑体"/>
          <w:sz w:val="30"/>
        </w:rPr>
        <w:t>绩效自评</w:t>
      </w:r>
      <w:r>
        <w:rPr>
          <w:rFonts w:hint="eastAsia" w:ascii="黑体" w:hAnsi="黑体" w:eastAsia="黑体"/>
          <w:sz w:val="30"/>
        </w:rPr>
        <w:t>结果</w:t>
      </w:r>
      <w:r>
        <w:rPr>
          <w:rFonts w:ascii="黑体" w:hAnsi="黑体" w:eastAsia="黑体"/>
          <w:sz w:val="30"/>
        </w:rPr>
        <w:t>拟应用和公开</w:t>
      </w:r>
      <w:r>
        <w:rPr>
          <w:rFonts w:hint="eastAsia" w:ascii="黑体" w:hAnsi="黑体" w:eastAsia="黑体"/>
          <w:sz w:val="30"/>
        </w:rPr>
        <w:t>情况</w:t>
      </w:r>
    </w:p>
    <w:p w14:paraId="19BBA852">
      <w:pPr>
        <w:spacing w:line="360" w:lineRule="auto"/>
        <w:ind w:firstLine="480" w:firstLineChars="200"/>
        <w:rPr>
          <w:rFonts w:ascii="宋体" w:hAnsi="宋体" w:cs="宋体"/>
          <w:sz w:val="24"/>
        </w:rPr>
      </w:pPr>
      <w:r>
        <w:rPr>
          <w:rFonts w:hint="eastAsia" w:ascii="宋体" w:hAnsi="宋体" w:cs="宋体"/>
          <w:sz w:val="24"/>
        </w:rPr>
        <w:t>根据2025年绩效自评结果，为2027年度预算编制提供参考，调整项目绩效目标完成值和整体绩效目标完成值。2025年2月对2025年度市级部门整体支出预算绩效目标和10个项目支出绩效目标进行公开。2025年9月对2024年度部门整体绩效自评价报告、16个项目支出绩效自评价报告和科研项目经费再评价表进行公开。</w:t>
      </w:r>
    </w:p>
    <w:p w14:paraId="77536DBD">
      <w:pPr>
        <w:spacing w:line="360" w:lineRule="auto"/>
        <w:rPr>
          <w:rFonts w:ascii="黑体" w:hAnsi="黑体" w:eastAsia="黑体"/>
          <w:sz w:val="30"/>
        </w:rPr>
        <w:sectPr>
          <w:headerReference r:id="rId3" w:type="default"/>
          <w:footerReference r:id="rId5" w:type="default"/>
          <w:headerReference r:id="rId4" w:type="even"/>
          <w:footerReference r:id="rId6" w:type="even"/>
          <w:pgSz w:w="11907" w:h="16840"/>
          <w:pgMar w:top="1247" w:right="1400" w:bottom="1089" w:left="1559" w:header="851" w:footer="992" w:gutter="0"/>
          <w:paperSrc w:first="15" w:other="15"/>
          <w:cols w:space="720" w:num="1"/>
          <w:docGrid w:type="lines" w:linePitch="312" w:charSpace="0"/>
        </w:sectPr>
      </w:pPr>
    </w:p>
    <w:p w14:paraId="280D262C">
      <w:pPr>
        <w:numPr>
          <w:ilvl w:val="0"/>
          <w:numId w:val="1"/>
        </w:numPr>
        <w:spacing w:line="360" w:lineRule="auto"/>
        <w:ind w:left="600"/>
        <w:rPr>
          <w:rFonts w:ascii="黑体" w:hAnsi="黑体" w:eastAsia="黑体"/>
          <w:sz w:val="30"/>
        </w:rPr>
      </w:pPr>
      <w:r>
        <w:rPr>
          <w:rFonts w:hint="eastAsia" w:ascii="黑体" w:hAnsi="黑体" w:eastAsia="黑体"/>
          <w:sz w:val="30"/>
        </w:rPr>
        <w:t>预算信息</w:t>
      </w:r>
    </w:p>
    <w:p w14:paraId="6B7F7FE6">
      <w:pPr>
        <w:spacing w:line="360" w:lineRule="auto"/>
        <w:ind w:left="600"/>
        <w:rPr>
          <w:rFonts w:ascii="黑体" w:hAnsi="黑体" w:eastAsia="黑体"/>
          <w:sz w:val="30"/>
        </w:rPr>
      </w:pPr>
    </w:p>
    <w:tbl>
      <w:tblPr>
        <w:tblStyle w:val="5"/>
        <w:tblW w:w="14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9"/>
        <w:gridCol w:w="2268"/>
        <w:gridCol w:w="2268"/>
        <w:gridCol w:w="2268"/>
        <w:gridCol w:w="2268"/>
        <w:gridCol w:w="2268"/>
      </w:tblGrid>
      <w:tr w14:paraId="7D632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3079" w:type="dxa"/>
            <w:shd w:val="clear" w:color="000000" w:fill="BFBFBF"/>
            <w:vAlign w:val="center"/>
          </w:tcPr>
          <w:p w14:paraId="4BC6E322">
            <w:pPr>
              <w:widowControl/>
              <w:jc w:val="center"/>
              <w:rPr>
                <w:rFonts w:ascii="宋体" w:hAnsi="宋体" w:cs="宋体"/>
                <w:b/>
                <w:bCs/>
                <w:kern w:val="0"/>
                <w:sz w:val="24"/>
              </w:rPr>
            </w:pPr>
            <w:r>
              <w:rPr>
                <w:rFonts w:hint="eastAsia" w:ascii="宋体" w:hAnsi="宋体" w:cs="宋体"/>
                <w:b/>
                <w:bCs/>
                <w:kern w:val="0"/>
                <w:sz w:val="24"/>
              </w:rPr>
              <w:t>本年度预算资金（万元）</w:t>
            </w:r>
            <w:r>
              <w:rPr>
                <w:rFonts w:ascii="宋体" w:hAnsi="宋体" w:cs="宋体" w:eastAsia="宋体"/>
                <w:b w:val="true"/>
                <w:color w:val=""/>
                <w:sz w:val="24"/>
                <w:u w:val="none"/>
              </w:rPr>
              <w:t/>
            </w:r>
          </w:p>
        </w:tc>
        <w:tc>
          <w:tcPr>
            <w:tcW w:w="2268" w:type="dxa"/>
            <w:shd w:val="clear" w:color="000000" w:fill="BFBFBF"/>
            <w:vAlign w:val="center"/>
          </w:tcPr>
          <w:p w14:paraId="7E2E6F84">
            <w:pPr>
              <w:widowControl/>
              <w:jc w:val="center"/>
              <w:rPr>
                <w:rFonts w:ascii="宋体" w:hAnsi="宋体" w:cs="宋体"/>
                <w:b/>
                <w:bCs/>
                <w:kern w:val="0"/>
                <w:sz w:val="24"/>
              </w:rPr>
            </w:pPr>
            <w:r>
              <w:rPr>
                <w:rFonts w:hint="eastAsia" w:ascii="宋体" w:hAnsi="宋体" w:cs="宋体"/>
                <w:b/>
                <w:bCs/>
                <w:kern w:val="0"/>
                <w:sz w:val="24"/>
              </w:rPr>
              <w:t>年初预算数（万元）</w:t>
            </w:r>
          </w:p>
        </w:tc>
        <w:tc>
          <w:tcPr>
            <w:tcW w:w="2268" w:type="dxa"/>
            <w:shd w:val="clear" w:color="000000" w:fill="BFBFBF"/>
            <w:vAlign w:val="center"/>
          </w:tcPr>
          <w:p w14:paraId="74B8B6D4">
            <w:pPr>
              <w:widowControl/>
              <w:jc w:val="center"/>
              <w:rPr>
                <w:rFonts w:ascii="宋体" w:hAnsi="宋体" w:cs="宋体"/>
                <w:b/>
                <w:bCs/>
                <w:kern w:val="0"/>
                <w:sz w:val="24"/>
              </w:rPr>
            </w:pPr>
            <w:r>
              <w:rPr>
                <w:rFonts w:hint="eastAsia" w:ascii="宋体" w:hAnsi="宋体" w:cs="宋体"/>
                <w:b/>
                <w:bCs/>
                <w:kern w:val="0"/>
                <w:sz w:val="24"/>
              </w:rPr>
              <w:t>上年度结转及当年预算追加追减数(万元）</w:t>
            </w:r>
          </w:p>
        </w:tc>
        <w:tc>
          <w:tcPr>
            <w:tcW w:w="2268" w:type="dxa"/>
            <w:shd w:val="clear" w:color="000000" w:fill="BFBFBF"/>
            <w:vAlign w:val="center"/>
          </w:tcPr>
          <w:p w14:paraId="218C2C18">
            <w:pPr>
              <w:widowControl/>
              <w:jc w:val="center"/>
              <w:rPr>
                <w:rFonts w:ascii="宋体" w:hAnsi="宋体" w:cs="宋体"/>
                <w:b/>
                <w:bCs/>
                <w:kern w:val="0"/>
                <w:sz w:val="24"/>
              </w:rPr>
            </w:pPr>
            <w:r>
              <w:rPr>
                <w:rFonts w:hint="eastAsia" w:ascii="宋体" w:hAnsi="宋体" w:cs="宋体"/>
                <w:b/>
                <w:bCs/>
                <w:kern w:val="0"/>
                <w:sz w:val="24"/>
              </w:rPr>
              <w:t>调整预算数（万元）</w:t>
            </w:r>
          </w:p>
        </w:tc>
        <w:tc>
          <w:tcPr>
            <w:tcW w:w="2268" w:type="dxa"/>
            <w:shd w:val="clear" w:color="000000" w:fill="BFBFBF"/>
            <w:vAlign w:val="center"/>
          </w:tcPr>
          <w:p w14:paraId="6C2574C8">
            <w:pPr>
              <w:widowControl/>
              <w:jc w:val="center"/>
              <w:rPr>
                <w:rFonts w:ascii="宋体" w:hAnsi="宋体" w:cs="宋体"/>
                <w:b/>
                <w:bCs/>
                <w:kern w:val="0"/>
                <w:sz w:val="24"/>
              </w:rPr>
            </w:pPr>
            <w:r>
              <w:rPr>
                <w:rFonts w:hint="eastAsia" w:ascii="宋体" w:hAnsi="宋体" w:cs="宋体"/>
                <w:b/>
                <w:bCs/>
                <w:kern w:val="0"/>
                <w:sz w:val="24"/>
              </w:rPr>
              <w:t>实际支出数（万元）</w:t>
            </w:r>
          </w:p>
        </w:tc>
        <w:tc>
          <w:tcPr>
            <w:tcW w:w="2268" w:type="dxa"/>
            <w:shd w:val="clear" w:color="000000" w:fill="BFBFBF"/>
            <w:vAlign w:val="center"/>
          </w:tcPr>
          <w:p w14:paraId="3899CF22">
            <w:pPr>
              <w:widowControl/>
              <w:jc w:val="center"/>
              <w:rPr>
                <w:rFonts w:ascii="宋体" w:hAnsi="宋体" w:cs="宋体"/>
                <w:b/>
                <w:bCs/>
                <w:kern w:val="0"/>
                <w:sz w:val="24"/>
              </w:rPr>
            </w:pPr>
            <w:r>
              <w:rPr>
                <w:rFonts w:hint="eastAsia" w:ascii="宋体" w:hAnsi="宋体" w:cs="宋体"/>
                <w:b/>
                <w:bCs/>
                <w:kern w:val="0"/>
                <w:sz w:val="24"/>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ascii="宋体" w:hAnsi="宋体" w:cs="宋体"/>
                <w:kern w:val="0"/>
                <w:sz w:val="24"/>
              </w:rPr>
            </w:pPr>
            <w:r>
              <w:rPr>
                <w:rFonts w:hint="eastAsia" w:ascii="宋体" w:hAnsi="宋体" w:cs="宋体"/>
                <w:sz w:val="24"/>
              </w:rPr>
              <w:t>预算总金额</w:t>
            </w:r>
          </w:p>
        </w:tc>
        <w:tc>
          <w:tcPr>
            <w:tcW w:w="2268" w:type="dxa"/>
            <w:vAlign w:val="center"/>
          </w:tcPr>
          <w:p>
            <w:pPr>
              <w:widowControl/>
              <w:jc w:val="center"/>
              <w:rPr>
                <w:rFonts w:ascii="宋体" w:hAnsi="宋体" w:cs="宋体"/>
                <w:kern w:val="0"/>
                <w:sz w:val="24"/>
              </w:rPr>
            </w:pPr>
            <w:r>
              <w:rPr>
                <w:rFonts w:hint="eastAsia" w:ascii="宋体" w:hAnsi="宋体" w:cs="宋体"/>
                <w:sz w:val="24"/>
              </w:rPr>
              <w:t>6953.8</w:t>
            </w:r>
          </w:p>
        </w:tc>
        <w:tc>
          <w:tcPr>
            <w:tcW w:w="2268" w:type="dxa"/>
            <w:vAlign w:val="center"/>
          </w:tcPr>
          <w:p>
            <w:pPr>
              <w:widowControl/>
              <w:jc w:val="center"/>
              <w:rPr>
                <w:rFonts w:ascii="宋体" w:hAnsi="宋体" w:cs="宋体"/>
                <w:sz w:val="24"/>
              </w:rPr>
            </w:pPr>
            <w:r>
              <w:rPr>
                <w:rFonts w:hint="eastAsia" w:ascii="宋体" w:hAnsi="宋体" w:cs="宋体"/>
                <w:sz w:val="24"/>
              </w:rPr>
              <w:t>2156.79</w:t>
            </w:r>
          </w:p>
        </w:tc>
        <w:tc>
          <w:tcPr>
            <w:tcW w:w="2268" w:type="dxa"/>
            <w:vAlign w:val="center"/>
          </w:tcPr>
          <w:p>
            <w:pPr>
              <w:widowControl/>
              <w:jc w:val="center"/>
              <w:rPr>
                <w:rFonts w:ascii="宋体" w:hAnsi="宋体" w:cs="宋体"/>
                <w:sz w:val="24"/>
              </w:rPr>
            </w:pPr>
            <w:r>
              <w:rPr>
                <w:rFonts w:hint="eastAsia" w:ascii="宋体" w:hAnsi="宋体" w:cs="宋体"/>
                <w:sz w:val="24"/>
              </w:rPr>
              <w:t>9110.59</w:t>
            </w:r>
          </w:p>
        </w:tc>
        <w:tc>
          <w:tcPr>
            <w:tcW w:w="2268" w:type="dxa"/>
            <w:vAlign w:val="center"/>
          </w:tcPr>
          <w:p>
            <w:pPr>
              <w:widowControl/>
              <w:jc w:val="center"/>
              <w:rPr>
                <w:rFonts w:ascii="宋体" w:hAnsi="宋体" w:cs="宋体"/>
                <w:sz w:val="24"/>
              </w:rPr>
            </w:pPr>
            <w:r>
              <w:rPr>
                <w:rFonts w:hint="eastAsia" w:ascii="宋体" w:hAnsi="宋体" w:cs="宋体"/>
                <w:sz w:val="24"/>
              </w:rPr>
              <w:t>8984.17</w:t>
            </w:r>
          </w:p>
        </w:tc>
        <w:tc>
          <w:tcPr>
            <w:tcW w:w="2268" w:type="dxa"/>
            <w:vAlign w:val="center"/>
          </w:tcPr>
          <w:p>
            <w:pPr>
              <w:widowControl/>
              <w:jc w:val="center"/>
              <w:rPr>
                <w:rFonts w:ascii="宋体" w:hAnsi="宋体" w:cs="宋体"/>
                <w:sz w:val="24"/>
              </w:rPr>
            </w:pPr>
            <w:r>
              <w:rPr>
                <w:rFonts w:hint="eastAsia" w:ascii="宋体" w:hAnsi="宋体" w:cs="宋体"/>
                <w:sz w:val="24"/>
              </w:rPr>
              <w:t>98.61%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ascii="宋体" w:hAnsi="宋体" w:cs="宋体"/>
                <w:kern w:val="0"/>
                <w:sz w:val="24"/>
              </w:rPr>
            </w:pPr>
            <w:r>
              <w:rPr>
                <w:rFonts w:hint="eastAsia" w:ascii="宋体" w:hAnsi="宋体" w:cs="宋体"/>
                <w:sz w:val="24"/>
              </w:rPr>
              <w:t>基本支出</w:t>
            </w:r>
          </w:p>
        </w:tc>
        <w:tc>
          <w:tcPr>
            <w:tcW w:w="2268" w:type="dxa"/>
            <w:vAlign w:val="center"/>
          </w:tcPr>
          <w:p>
            <w:pPr>
              <w:widowControl/>
              <w:jc w:val="center"/>
              <w:rPr>
                <w:rFonts w:ascii="宋体" w:hAnsi="宋体" w:cs="宋体"/>
                <w:kern w:val="0"/>
                <w:sz w:val="24"/>
              </w:rPr>
            </w:pPr>
            <w:r>
              <w:rPr>
                <w:rFonts w:hint="eastAsia" w:ascii="宋体" w:hAnsi="宋体" w:cs="宋体"/>
                <w:sz w:val="24"/>
              </w:rPr>
              <w:t>4695.5</w:t>
            </w:r>
          </w:p>
        </w:tc>
        <w:tc>
          <w:tcPr>
            <w:tcW w:w="2268" w:type="dxa"/>
            <w:vAlign w:val="center"/>
          </w:tcPr>
          <w:p>
            <w:pPr>
              <w:widowControl/>
              <w:jc w:val="center"/>
              <w:rPr>
                <w:rFonts w:ascii="宋体" w:hAnsi="宋体" w:cs="宋体"/>
                <w:sz w:val="24"/>
              </w:rPr>
            </w:pPr>
            <w:r>
              <w:rPr>
                <w:rFonts w:hint="eastAsia" w:ascii="宋体" w:hAnsi="宋体" w:cs="宋体"/>
                <w:sz w:val="24"/>
              </w:rPr>
              <w:t>861.11</w:t>
            </w:r>
          </w:p>
        </w:tc>
        <w:tc>
          <w:tcPr>
            <w:tcW w:w="2268" w:type="dxa"/>
            <w:vAlign w:val="center"/>
          </w:tcPr>
          <w:p>
            <w:pPr>
              <w:widowControl/>
              <w:jc w:val="center"/>
              <w:rPr>
                <w:rFonts w:ascii="宋体" w:hAnsi="宋体" w:cs="宋体"/>
                <w:sz w:val="24"/>
              </w:rPr>
            </w:pPr>
            <w:r>
              <w:rPr>
                <w:rFonts w:hint="eastAsia" w:ascii="宋体" w:hAnsi="宋体" w:cs="宋体"/>
                <w:sz w:val="24"/>
              </w:rPr>
              <w:t>5556.61</w:t>
            </w:r>
          </w:p>
        </w:tc>
        <w:tc>
          <w:tcPr>
            <w:tcW w:w="2268" w:type="dxa"/>
            <w:vAlign w:val="center"/>
          </w:tcPr>
          <w:p>
            <w:pPr>
              <w:widowControl/>
              <w:jc w:val="center"/>
              <w:rPr>
                <w:rFonts w:ascii="宋体" w:hAnsi="宋体" w:cs="宋体"/>
                <w:sz w:val="24"/>
              </w:rPr>
            </w:pPr>
            <w:r>
              <w:rPr>
                <w:rFonts w:hint="eastAsia" w:ascii="宋体" w:hAnsi="宋体" w:cs="宋体"/>
                <w:sz w:val="24"/>
              </w:rPr>
              <w:t>5556.61</w:t>
            </w:r>
          </w:p>
        </w:tc>
        <w:tc>
          <w:tcPr>
            <w:tcW w:w="2268" w:type="dxa"/>
            <w:vAlign w:val="center"/>
          </w:tcPr>
          <w:p>
            <w:pPr>
              <w:widowControl/>
              <w:jc w:val="center"/>
              <w:rPr>
                <w:rFonts w:ascii="宋体" w:hAnsi="宋体" w:cs="宋体"/>
                <w:sz w:val="24"/>
              </w:rPr>
            </w:pPr>
            <w:r>
              <w:rPr>
                <w:rFonts w:hint="eastAsia" w:ascii="宋体" w:hAnsi="宋体" w:cs="宋体"/>
                <w:sz w:val="24"/>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ascii="宋体" w:hAnsi="宋体" w:cs="宋体"/>
                <w:kern w:val="0"/>
                <w:sz w:val="24"/>
              </w:rPr>
            </w:pPr>
            <w:r>
              <w:rPr>
                <w:rFonts w:hint="eastAsia" w:ascii="宋体" w:hAnsi="宋体" w:cs="宋体"/>
                <w:sz w:val="24"/>
              </w:rPr>
              <w:t>项目支出</w:t>
            </w:r>
          </w:p>
        </w:tc>
        <w:tc>
          <w:tcPr>
            <w:tcW w:w="2268" w:type="dxa"/>
            <w:vAlign w:val="center"/>
          </w:tcPr>
          <w:p>
            <w:pPr>
              <w:widowControl/>
              <w:jc w:val="center"/>
              <w:rPr>
                <w:rFonts w:ascii="宋体" w:hAnsi="宋体" w:cs="宋体"/>
                <w:kern w:val="0"/>
                <w:sz w:val="24"/>
              </w:rPr>
            </w:pPr>
            <w:r>
              <w:rPr>
                <w:rFonts w:hint="eastAsia" w:ascii="宋体" w:hAnsi="宋体" w:cs="宋体"/>
                <w:sz w:val="24"/>
              </w:rPr>
              <w:t>2258.3</w:t>
            </w:r>
          </w:p>
        </w:tc>
        <w:tc>
          <w:tcPr>
            <w:tcW w:w="2268" w:type="dxa"/>
            <w:vAlign w:val="center"/>
          </w:tcPr>
          <w:p>
            <w:pPr>
              <w:widowControl/>
              <w:jc w:val="center"/>
              <w:rPr>
                <w:rFonts w:ascii="宋体" w:hAnsi="宋体" w:cs="宋体"/>
                <w:sz w:val="24"/>
              </w:rPr>
            </w:pPr>
            <w:r>
              <w:rPr>
                <w:rFonts w:hint="eastAsia" w:ascii="宋体" w:hAnsi="宋体" w:cs="宋体"/>
                <w:sz w:val="24"/>
              </w:rPr>
              <w:t>1295.68</w:t>
            </w:r>
          </w:p>
        </w:tc>
        <w:tc>
          <w:tcPr>
            <w:tcW w:w="2268" w:type="dxa"/>
            <w:vAlign w:val="center"/>
          </w:tcPr>
          <w:p>
            <w:pPr>
              <w:widowControl/>
              <w:jc w:val="center"/>
              <w:rPr>
                <w:rFonts w:ascii="宋体" w:hAnsi="宋体" w:cs="宋体"/>
                <w:sz w:val="24"/>
              </w:rPr>
            </w:pPr>
            <w:r>
              <w:rPr>
                <w:rFonts w:hint="eastAsia" w:ascii="宋体" w:hAnsi="宋体" w:cs="宋体"/>
                <w:sz w:val="24"/>
              </w:rPr>
              <w:t>3553.98</w:t>
            </w:r>
          </w:p>
        </w:tc>
        <w:tc>
          <w:tcPr>
            <w:tcW w:w="2268" w:type="dxa"/>
            <w:vAlign w:val="center"/>
          </w:tcPr>
          <w:p>
            <w:pPr>
              <w:widowControl/>
              <w:jc w:val="center"/>
              <w:rPr>
                <w:rFonts w:ascii="宋体" w:hAnsi="宋体" w:cs="宋体"/>
                <w:sz w:val="24"/>
              </w:rPr>
            </w:pPr>
            <w:r>
              <w:rPr>
                <w:rFonts w:hint="eastAsia" w:ascii="宋体" w:hAnsi="宋体" w:cs="宋体"/>
                <w:sz w:val="24"/>
              </w:rPr>
              <w:t>3427.56</w:t>
            </w:r>
          </w:p>
        </w:tc>
        <w:tc>
          <w:tcPr>
            <w:tcW w:w="2268" w:type="dxa"/>
            <w:vAlign w:val="center"/>
          </w:tcPr>
          <w:p>
            <w:pPr>
              <w:widowControl/>
              <w:jc w:val="center"/>
              <w:rPr>
                <w:rFonts w:ascii="宋体" w:hAnsi="宋体" w:cs="宋体"/>
                <w:sz w:val="24"/>
              </w:rPr>
            </w:pPr>
            <w:r>
              <w:rPr>
                <w:rFonts w:hint="eastAsia" w:ascii="宋体" w:hAnsi="宋体" w:cs="宋体"/>
                <w:sz w:val="24"/>
              </w:rPr>
              <w:t>96.44%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ascii="宋体" w:hAnsi="宋体" w:cs="宋体"/>
                <w:kern w:val="0"/>
                <w:sz w:val="24"/>
              </w:rPr>
            </w:pPr>
            <w:r>
              <w:rPr>
                <w:rFonts w:hint="eastAsia" w:ascii="宋体" w:hAnsi="宋体" w:cs="宋体"/>
                <w:sz w:val="24"/>
              </w:rPr>
              <w:t>设备购置</w:t>
            </w:r>
          </w:p>
        </w:tc>
        <w:tc>
          <w:tcPr>
            <w:tcW w:w="2268" w:type="dxa"/>
            <w:vAlign w:val="center"/>
          </w:tcPr>
          <w:p>
            <w:pPr>
              <w:widowControl/>
              <w:jc w:val="center"/>
              <w:rPr>
                <w:rFonts w:ascii="宋体" w:hAnsi="宋体" w:cs="宋体"/>
                <w:kern w:val="0"/>
                <w:sz w:val="24"/>
              </w:rPr>
            </w:pPr>
            <w:r>
              <w:rPr>
                <w:rFonts w:hint="eastAsia" w:ascii="宋体" w:hAnsi="宋体" w:cs="宋体"/>
                <w:sz w:val="24"/>
              </w:rPr>
              <w:t>6.71</w:t>
            </w:r>
          </w:p>
        </w:tc>
        <w:tc>
          <w:tcPr>
            <w:tcW w:w="2268" w:type="dxa"/>
            <w:vAlign w:val="center"/>
          </w:tcPr>
          <w:p>
            <w:pPr>
              <w:widowControl/>
              <w:jc w:val="center"/>
              <w:rPr>
                <w:rFonts w:ascii="宋体" w:hAnsi="宋体" w:cs="宋体"/>
                <w:sz w:val="24"/>
              </w:rPr>
            </w:pPr>
            <w:r>
              <w:rPr>
                <w:rFonts w:hint="eastAsia" w:ascii="宋体" w:hAnsi="宋体" w:cs="宋体"/>
                <w:sz w:val="24"/>
              </w:rPr>
              <w:t/>
            </w:r>
          </w:p>
        </w:tc>
        <w:tc>
          <w:tcPr>
            <w:tcW w:w="2268" w:type="dxa"/>
            <w:vAlign w:val="center"/>
          </w:tcPr>
          <w:p>
            <w:pPr>
              <w:widowControl/>
              <w:jc w:val="center"/>
              <w:rPr>
                <w:rFonts w:ascii="宋体" w:hAnsi="宋体" w:cs="宋体"/>
                <w:sz w:val="24"/>
              </w:rPr>
            </w:pPr>
            <w:r>
              <w:rPr>
                <w:rFonts w:hint="eastAsia" w:ascii="宋体" w:hAnsi="宋体" w:cs="宋体"/>
                <w:sz w:val="24"/>
              </w:rPr>
              <w:t>6.71</w:t>
            </w:r>
          </w:p>
        </w:tc>
        <w:tc>
          <w:tcPr>
            <w:tcW w:w="2268" w:type="dxa"/>
            <w:vAlign w:val="center"/>
          </w:tcPr>
          <w:p>
            <w:pPr>
              <w:widowControl/>
              <w:jc w:val="center"/>
              <w:rPr>
                <w:rFonts w:ascii="宋体" w:hAnsi="宋体" w:cs="宋体"/>
                <w:sz w:val="24"/>
              </w:rPr>
            </w:pPr>
            <w:r>
              <w:rPr>
                <w:rFonts w:hint="eastAsia" w:ascii="宋体" w:hAnsi="宋体" w:cs="宋体"/>
                <w:sz w:val="24"/>
              </w:rPr>
              <w:t>6.22</w:t>
            </w:r>
          </w:p>
        </w:tc>
        <w:tc>
          <w:tcPr>
            <w:tcW w:w="2268" w:type="dxa"/>
            <w:vAlign w:val="center"/>
          </w:tcPr>
          <w:p>
            <w:pPr>
              <w:widowControl/>
              <w:jc w:val="center"/>
              <w:rPr>
                <w:rFonts w:ascii="宋体" w:hAnsi="宋体" w:cs="宋体"/>
                <w:sz w:val="24"/>
              </w:rPr>
            </w:pPr>
            <w:r>
              <w:rPr>
                <w:rFonts w:hint="eastAsia" w:ascii="宋体" w:hAnsi="宋体" w:cs="宋体"/>
                <w:sz w:val="24"/>
              </w:rPr>
              <w:t>92.70%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ascii="宋体" w:hAnsi="宋体" w:cs="宋体"/>
                <w:kern w:val="0"/>
                <w:sz w:val="24"/>
              </w:rPr>
            </w:pPr>
            <w:r>
              <w:rPr>
                <w:rFonts w:hint="eastAsia" w:ascii="宋体" w:hAnsi="宋体" w:cs="宋体"/>
                <w:sz w:val="24"/>
              </w:rPr>
              <w:t>专项委托业务费</w:t>
            </w:r>
          </w:p>
        </w:tc>
        <w:tc>
          <w:tcPr>
            <w:tcW w:w="2268" w:type="dxa"/>
            <w:vAlign w:val="center"/>
          </w:tcPr>
          <w:p>
            <w:pPr>
              <w:widowControl/>
              <w:jc w:val="center"/>
              <w:rPr>
                <w:rFonts w:ascii="宋体" w:hAnsi="宋体" w:cs="宋体"/>
                <w:kern w:val="0"/>
                <w:sz w:val="24"/>
              </w:rPr>
            </w:pPr>
            <w:r>
              <w:rPr>
                <w:rFonts w:hint="eastAsia" w:ascii="宋体" w:hAnsi="宋体" w:cs="宋体"/>
                <w:sz w:val="24"/>
              </w:rPr>
              <w:t>133.72</w:t>
            </w:r>
          </w:p>
        </w:tc>
        <w:tc>
          <w:tcPr>
            <w:tcW w:w="2268" w:type="dxa"/>
            <w:vAlign w:val="center"/>
          </w:tcPr>
          <w:p>
            <w:pPr>
              <w:widowControl/>
              <w:jc w:val="center"/>
              <w:rPr>
                <w:rFonts w:ascii="宋体" w:hAnsi="宋体" w:cs="宋体"/>
                <w:sz w:val="24"/>
              </w:rPr>
            </w:pPr>
            <w:r>
              <w:rPr>
                <w:rFonts w:hint="eastAsia" w:ascii="宋体" w:hAnsi="宋体" w:cs="宋体"/>
                <w:sz w:val="24"/>
              </w:rPr>
              <w:t/>
            </w:r>
          </w:p>
        </w:tc>
        <w:tc>
          <w:tcPr>
            <w:tcW w:w="2268" w:type="dxa"/>
            <w:vAlign w:val="center"/>
          </w:tcPr>
          <w:p>
            <w:pPr>
              <w:widowControl/>
              <w:jc w:val="center"/>
              <w:rPr>
                <w:rFonts w:ascii="宋体" w:hAnsi="宋体" w:cs="宋体"/>
                <w:sz w:val="24"/>
              </w:rPr>
            </w:pPr>
            <w:r>
              <w:rPr>
                <w:rFonts w:hint="eastAsia" w:ascii="宋体" w:hAnsi="宋体" w:cs="宋体"/>
                <w:sz w:val="24"/>
              </w:rPr>
              <w:t>133.72</w:t>
            </w:r>
          </w:p>
        </w:tc>
        <w:tc>
          <w:tcPr>
            <w:tcW w:w="2268" w:type="dxa"/>
            <w:vAlign w:val="center"/>
          </w:tcPr>
          <w:p>
            <w:pPr>
              <w:widowControl/>
              <w:jc w:val="center"/>
              <w:rPr>
                <w:rFonts w:ascii="宋体" w:hAnsi="宋体" w:cs="宋体"/>
                <w:sz w:val="24"/>
              </w:rPr>
            </w:pPr>
            <w:r>
              <w:rPr>
                <w:rFonts w:hint="eastAsia" w:ascii="宋体" w:hAnsi="宋体" w:cs="宋体"/>
                <w:sz w:val="24"/>
              </w:rPr>
              <w:t>133.72</w:t>
            </w:r>
          </w:p>
        </w:tc>
        <w:tc>
          <w:tcPr>
            <w:tcW w:w="2268" w:type="dxa"/>
            <w:vAlign w:val="center"/>
          </w:tcPr>
          <w:p>
            <w:pPr>
              <w:widowControl/>
              <w:jc w:val="center"/>
              <w:rPr>
                <w:rFonts w:ascii="宋体" w:hAnsi="宋体" w:cs="宋体"/>
                <w:sz w:val="24"/>
              </w:rPr>
            </w:pPr>
            <w:r>
              <w:rPr>
                <w:rFonts w:hint="eastAsia" w:ascii="宋体" w:hAnsi="宋体" w:cs="宋体"/>
                <w:sz w:val="24"/>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ascii="宋体" w:hAnsi="宋体" w:cs="宋体"/>
                <w:kern w:val="0"/>
                <w:sz w:val="24"/>
              </w:rPr>
            </w:pPr>
            <w:r>
              <w:rPr>
                <w:rFonts w:hint="eastAsia" w:ascii="宋体" w:hAnsi="宋体" w:cs="宋体"/>
                <w:sz w:val="24"/>
              </w:rPr>
              <w:t>专项租赁费</w:t>
            </w:r>
          </w:p>
        </w:tc>
        <w:tc>
          <w:tcPr>
            <w:tcW w:w="2268" w:type="dxa"/>
            <w:vAlign w:val="center"/>
          </w:tcPr>
          <w:p>
            <w:pPr>
              <w:widowControl/>
              <w:jc w:val="center"/>
              <w:rPr>
                <w:rFonts w:ascii="宋体" w:hAnsi="宋体" w:cs="宋体"/>
                <w:kern w:val="0"/>
                <w:sz w:val="24"/>
              </w:rPr>
            </w:pPr>
            <w:r>
              <w:rPr>
                <w:rFonts w:hint="eastAsia" w:ascii="宋体" w:hAnsi="宋体" w:cs="宋体"/>
                <w:sz w:val="24"/>
              </w:rPr>
              <w:t>47.05</w:t>
            </w:r>
          </w:p>
        </w:tc>
        <w:tc>
          <w:tcPr>
            <w:tcW w:w="2268" w:type="dxa"/>
            <w:vAlign w:val="center"/>
          </w:tcPr>
          <w:p>
            <w:pPr>
              <w:widowControl/>
              <w:jc w:val="center"/>
              <w:rPr>
                <w:rFonts w:ascii="宋体" w:hAnsi="宋体" w:cs="宋体"/>
                <w:sz w:val="24"/>
              </w:rPr>
            </w:pPr>
            <w:r>
              <w:rPr>
                <w:rFonts w:hint="eastAsia" w:ascii="宋体" w:hAnsi="宋体" w:cs="宋体"/>
                <w:sz w:val="24"/>
              </w:rPr>
              <w:t/>
            </w:r>
          </w:p>
        </w:tc>
        <w:tc>
          <w:tcPr>
            <w:tcW w:w="2268" w:type="dxa"/>
            <w:vAlign w:val="center"/>
          </w:tcPr>
          <w:p>
            <w:pPr>
              <w:widowControl/>
              <w:jc w:val="center"/>
              <w:rPr>
                <w:rFonts w:ascii="宋体" w:hAnsi="宋体" w:cs="宋体"/>
                <w:sz w:val="24"/>
              </w:rPr>
            </w:pPr>
            <w:r>
              <w:rPr>
                <w:rFonts w:hint="eastAsia" w:ascii="宋体" w:hAnsi="宋体" w:cs="宋体"/>
                <w:sz w:val="24"/>
              </w:rPr>
              <w:t>47.05</w:t>
            </w:r>
          </w:p>
        </w:tc>
        <w:tc>
          <w:tcPr>
            <w:tcW w:w="2268" w:type="dxa"/>
            <w:vAlign w:val="center"/>
          </w:tcPr>
          <w:p>
            <w:pPr>
              <w:widowControl/>
              <w:jc w:val="center"/>
              <w:rPr>
                <w:rFonts w:ascii="宋体" w:hAnsi="宋体" w:cs="宋体"/>
                <w:sz w:val="24"/>
              </w:rPr>
            </w:pPr>
            <w:r>
              <w:rPr>
                <w:rFonts w:hint="eastAsia" w:ascii="宋体" w:hAnsi="宋体" w:cs="宋体"/>
                <w:sz w:val="24"/>
              </w:rPr>
              <w:t>47.05</w:t>
            </w:r>
          </w:p>
        </w:tc>
        <w:tc>
          <w:tcPr>
            <w:tcW w:w="2268" w:type="dxa"/>
            <w:vAlign w:val="center"/>
          </w:tcPr>
          <w:p>
            <w:pPr>
              <w:widowControl/>
              <w:jc w:val="center"/>
              <w:rPr>
                <w:rFonts w:ascii="宋体" w:hAnsi="宋体" w:cs="宋体"/>
                <w:sz w:val="24"/>
              </w:rPr>
            </w:pPr>
            <w:r>
              <w:rPr>
                <w:rFonts w:hint="eastAsia" w:ascii="宋体" w:hAnsi="宋体" w:cs="宋体"/>
                <w:sz w:val="24"/>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ascii="宋体" w:hAnsi="宋体" w:cs="宋体"/>
                <w:kern w:val="0"/>
                <w:sz w:val="24"/>
              </w:rPr>
            </w:pPr>
            <w:r>
              <w:rPr>
                <w:rFonts w:hint="eastAsia" w:ascii="宋体" w:hAnsi="宋体" w:cs="宋体"/>
                <w:sz w:val="24"/>
              </w:rPr>
              <w:t>科研项目经费</w:t>
            </w:r>
          </w:p>
        </w:tc>
        <w:tc>
          <w:tcPr>
            <w:tcW w:w="2268" w:type="dxa"/>
            <w:vAlign w:val="center"/>
          </w:tcPr>
          <w:p>
            <w:pPr>
              <w:widowControl/>
              <w:jc w:val="center"/>
              <w:rPr>
                <w:rFonts w:ascii="宋体" w:hAnsi="宋体" w:cs="宋体"/>
                <w:kern w:val="0"/>
                <w:sz w:val="24"/>
              </w:rPr>
            </w:pPr>
            <w:r>
              <w:rPr>
                <w:rFonts w:hint="eastAsia" w:ascii="宋体" w:hAnsi="宋体" w:cs="宋体"/>
                <w:sz w:val="24"/>
              </w:rPr>
              <w:t>1064.89</w:t>
            </w:r>
          </w:p>
        </w:tc>
        <w:tc>
          <w:tcPr>
            <w:tcW w:w="2268" w:type="dxa"/>
            <w:vAlign w:val="center"/>
          </w:tcPr>
          <w:p>
            <w:pPr>
              <w:widowControl/>
              <w:jc w:val="center"/>
              <w:rPr>
                <w:rFonts w:ascii="宋体" w:hAnsi="宋体" w:cs="宋体"/>
                <w:sz w:val="24"/>
              </w:rPr>
            </w:pPr>
            <w:r>
              <w:rPr>
                <w:rFonts w:hint="eastAsia" w:ascii="宋体" w:hAnsi="宋体" w:cs="宋体"/>
                <w:sz w:val="24"/>
              </w:rPr>
              <w:t/>
            </w:r>
          </w:p>
        </w:tc>
        <w:tc>
          <w:tcPr>
            <w:tcW w:w="2268" w:type="dxa"/>
            <w:vAlign w:val="center"/>
          </w:tcPr>
          <w:p>
            <w:pPr>
              <w:widowControl/>
              <w:jc w:val="center"/>
              <w:rPr>
                <w:rFonts w:ascii="宋体" w:hAnsi="宋体" w:cs="宋体"/>
                <w:sz w:val="24"/>
              </w:rPr>
            </w:pPr>
            <w:r>
              <w:rPr>
                <w:rFonts w:hint="eastAsia" w:ascii="宋体" w:hAnsi="宋体" w:cs="宋体"/>
                <w:sz w:val="24"/>
              </w:rPr>
              <w:t>1064.89</w:t>
            </w:r>
          </w:p>
        </w:tc>
        <w:tc>
          <w:tcPr>
            <w:tcW w:w="2268" w:type="dxa"/>
            <w:vAlign w:val="center"/>
          </w:tcPr>
          <w:p>
            <w:pPr>
              <w:widowControl/>
              <w:jc w:val="center"/>
              <w:rPr>
                <w:rFonts w:ascii="宋体" w:hAnsi="宋体" w:cs="宋体"/>
                <w:sz w:val="24"/>
              </w:rPr>
            </w:pPr>
            <w:r>
              <w:rPr>
                <w:rFonts w:hint="eastAsia" w:ascii="宋体" w:hAnsi="宋体" w:cs="宋体"/>
                <w:sz w:val="24"/>
              </w:rPr>
              <w:t>1064.89</w:t>
            </w:r>
          </w:p>
        </w:tc>
        <w:tc>
          <w:tcPr>
            <w:tcW w:w="2268" w:type="dxa"/>
            <w:vAlign w:val="center"/>
          </w:tcPr>
          <w:p>
            <w:pPr>
              <w:widowControl/>
              <w:jc w:val="center"/>
              <w:rPr>
                <w:rFonts w:ascii="宋体" w:hAnsi="宋体" w:cs="宋体"/>
                <w:sz w:val="24"/>
              </w:rPr>
            </w:pPr>
            <w:r>
              <w:rPr>
                <w:rFonts w:hint="eastAsia" w:ascii="宋体" w:hAnsi="宋体" w:cs="宋体"/>
                <w:sz w:val="24"/>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ascii="宋体" w:hAnsi="宋体" w:cs="宋体"/>
                <w:kern w:val="0"/>
                <w:sz w:val="24"/>
              </w:rPr>
            </w:pPr>
            <w:r>
              <w:rPr>
                <w:rFonts w:hint="eastAsia" w:ascii="宋体" w:hAnsi="宋体" w:cs="宋体"/>
                <w:sz w:val="24"/>
              </w:rPr>
              <w:t>房屋维修维护费</w:t>
            </w:r>
          </w:p>
        </w:tc>
        <w:tc>
          <w:tcPr>
            <w:tcW w:w="2268" w:type="dxa"/>
            <w:vAlign w:val="center"/>
          </w:tcPr>
          <w:p>
            <w:pPr>
              <w:widowControl/>
              <w:jc w:val="center"/>
              <w:rPr>
                <w:rFonts w:ascii="宋体" w:hAnsi="宋体" w:cs="宋体"/>
                <w:kern w:val="0"/>
                <w:sz w:val="24"/>
              </w:rPr>
            </w:pPr>
            <w:r>
              <w:rPr>
                <w:rFonts w:hint="eastAsia" w:ascii="宋体" w:hAnsi="宋体" w:cs="宋体"/>
                <w:sz w:val="24"/>
              </w:rPr>
              <w:t>57.06</w:t>
            </w:r>
          </w:p>
        </w:tc>
        <w:tc>
          <w:tcPr>
            <w:tcW w:w="2268" w:type="dxa"/>
            <w:vAlign w:val="center"/>
          </w:tcPr>
          <w:p>
            <w:pPr>
              <w:widowControl/>
              <w:jc w:val="center"/>
              <w:rPr>
                <w:rFonts w:ascii="宋体" w:hAnsi="宋体" w:cs="宋体"/>
                <w:sz w:val="24"/>
              </w:rPr>
            </w:pPr>
            <w:r>
              <w:rPr>
                <w:rFonts w:hint="eastAsia" w:ascii="宋体" w:hAnsi="宋体" w:cs="宋体"/>
                <w:sz w:val="24"/>
              </w:rPr>
              <w:t/>
            </w:r>
          </w:p>
        </w:tc>
        <w:tc>
          <w:tcPr>
            <w:tcW w:w="2268" w:type="dxa"/>
            <w:vAlign w:val="center"/>
          </w:tcPr>
          <w:p>
            <w:pPr>
              <w:widowControl/>
              <w:jc w:val="center"/>
              <w:rPr>
                <w:rFonts w:ascii="宋体" w:hAnsi="宋体" w:cs="宋体"/>
                <w:sz w:val="24"/>
              </w:rPr>
            </w:pPr>
            <w:r>
              <w:rPr>
                <w:rFonts w:hint="eastAsia" w:ascii="宋体" w:hAnsi="宋体" w:cs="宋体"/>
                <w:sz w:val="24"/>
              </w:rPr>
              <w:t>57.06</w:t>
            </w:r>
          </w:p>
        </w:tc>
        <w:tc>
          <w:tcPr>
            <w:tcW w:w="2268" w:type="dxa"/>
            <w:vAlign w:val="center"/>
          </w:tcPr>
          <w:p>
            <w:pPr>
              <w:widowControl/>
              <w:jc w:val="center"/>
              <w:rPr>
                <w:rFonts w:ascii="宋体" w:hAnsi="宋体" w:cs="宋体"/>
                <w:sz w:val="24"/>
              </w:rPr>
            </w:pPr>
            <w:r>
              <w:rPr>
                <w:rFonts w:hint="eastAsia" w:ascii="宋体" w:hAnsi="宋体" w:cs="宋体"/>
                <w:sz w:val="24"/>
              </w:rPr>
              <w:t>57.06</w:t>
            </w:r>
          </w:p>
        </w:tc>
        <w:tc>
          <w:tcPr>
            <w:tcW w:w="2268" w:type="dxa"/>
            <w:vAlign w:val="center"/>
          </w:tcPr>
          <w:p>
            <w:pPr>
              <w:widowControl/>
              <w:jc w:val="center"/>
              <w:rPr>
                <w:rFonts w:ascii="宋体" w:hAnsi="宋体" w:cs="宋体"/>
                <w:sz w:val="24"/>
              </w:rPr>
            </w:pPr>
            <w:r>
              <w:rPr>
                <w:rFonts w:hint="eastAsia" w:ascii="宋体" w:hAnsi="宋体" w:cs="宋体"/>
                <w:sz w:val="24"/>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ascii="宋体" w:hAnsi="宋体" w:cs="宋体"/>
                <w:kern w:val="0"/>
                <w:sz w:val="24"/>
              </w:rPr>
            </w:pPr>
            <w:r>
              <w:rPr>
                <w:rFonts w:hint="eastAsia" w:ascii="宋体" w:hAnsi="宋体" w:cs="宋体"/>
                <w:sz w:val="24"/>
              </w:rPr>
              <w:t xml:space="preserve"> 苏州市农业科学院新发展规划基础设施建设工程</w:t>
            </w:r>
          </w:p>
        </w:tc>
        <w:tc>
          <w:tcPr>
            <w:tcW w:w="2268" w:type="dxa"/>
            <w:vAlign w:val="center"/>
          </w:tcPr>
          <w:p>
            <w:pPr>
              <w:widowControl/>
              <w:jc w:val="center"/>
              <w:rPr>
                <w:rFonts w:ascii="宋体" w:hAnsi="宋体" w:cs="宋体"/>
                <w:kern w:val="0"/>
                <w:sz w:val="24"/>
              </w:rPr>
            </w:pPr>
            <w:r>
              <w:rPr>
                <w:rFonts w:hint="eastAsia" w:ascii="宋体" w:hAnsi="宋体" w:cs="宋体"/>
                <w:sz w:val="24"/>
              </w:rPr>
              <w:t>409</w:t>
            </w:r>
          </w:p>
        </w:tc>
        <w:tc>
          <w:tcPr>
            <w:tcW w:w="2268" w:type="dxa"/>
            <w:vAlign w:val="center"/>
          </w:tcPr>
          <w:p>
            <w:pPr>
              <w:widowControl/>
              <w:jc w:val="center"/>
              <w:rPr>
                <w:rFonts w:ascii="宋体" w:hAnsi="宋体" w:cs="宋体"/>
                <w:sz w:val="24"/>
              </w:rPr>
            </w:pPr>
            <w:r>
              <w:rPr>
                <w:rFonts w:hint="eastAsia" w:ascii="宋体" w:hAnsi="宋体" w:cs="宋体"/>
                <w:sz w:val="24"/>
              </w:rPr>
              <w:t>-124.87</w:t>
            </w:r>
          </w:p>
        </w:tc>
        <w:tc>
          <w:tcPr>
            <w:tcW w:w="2268" w:type="dxa"/>
            <w:vAlign w:val="center"/>
          </w:tcPr>
          <w:p>
            <w:pPr>
              <w:widowControl/>
              <w:jc w:val="center"/>
              <w:rPr>
                <w:rFonts w:ascii="宋体" w:hAnsi="宋体" w:cs="宋体"/>
                <w:sz w:val="24"/>
              </w:rPr>
            </w:pPr>
            <w:r>
              <w:rPr>
                <w:rFonts w:hint="eastAsia" w:ascii="宋体" w:hAnsi="宋体" w:cs="宋体"/>
                <w:sz w:val="24"/>
              </w:rPr>
              <w:t>284.13</w:t>
            </w:r>
          </w:p>
        </w:tc>
        <w:tc>
          <w:tcPr>
            <w:tcW w:w="2268" w:type="dxa"/>
            <w:vAlign w:val="center"/>
          </w:tcPr>
          <w:p>
            <w:pPr>
              <w:widowControl/>
              <w:jc w:val="center"/>
              <w:rPr>
                <w:rFonts w:ascii="宋体" w:hAnsi="宋体" w:cs="宋体"/>
                <w:sz w:val="24"/>
              </w:rPr>
            </w:pPr>
            <w:r>
              <w:rPr>
                <w:rFonts w:hint="eastAsia" w:ascii="宋体" w:hAnsi="宋体" w:cs="宋体"/>
                <w:sz w:val="24"/>
              </w:rPr>
              <w:t>275.18</w:t>
            </w:r>
          </w:p>
        </w:tc>
        <w:tc>
          <w:tcPr>
            <w:tcW w:w="2268" w:type="dxa"/>
            <w:vAlign w:val="center"/>
          </w:tcPr>
          <w:p>
            <w:pPr>
              <w:widowControl/>
              <w:jc w:val="center"/>
              <w:rPr>
                <w:rFonts w:ascii="宋体" w:hAnsi="宋体" w:cs="宋体"/>
                <w:sz w:val="24"/>
              </w:rPr>
            </w:pPr>
            <w:r>
              <w:rPr>
                <w:rFonts w:hint="eastAsia" w:ascii="宋体" w:hAnsi="宋体" w:cs="宋体"/>
                <w:sz w:val="24"/>
              </w:rPr>
              <w:t>96.85%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ascii="宋体" w:hAnsi="宋体" w:cs="宋体"/>
                <w:kern w:val="0"/>
                <w:sz w:val="24"/>
              </w:rPr>
            </w:pPr>
            <w:r>
              <w:rPr>
                <w:rFonts w:hint="eastAsia" w:ascii="宋体" w:hAnsi="宋体" w:cs="宋体"/>
                <w:sz w:val="24"/>
              </w:rPr>
              <w:t>物业管理费</w:t>
            </w:r>
          </w:p>
        </w:tc>
        <w:tc>
          <w:tcPr>
            <w:tcW w:w="2268" w:type="dxa"/>
            <w:vAlign w:val="center"/>
          </w:tcPr>
          <w:p>
            <w:pPr>
              <w:widowControl/>
              <w:jc w:val="center"/>
              <w:rPr>
                <w:rFonts w:ascii="宋体" w:hAnsi="宋体" w:cs="宋体"/>
                <w:kern w:val="0"/>
                <w:sz w:val="24"/>
              </w:rPr>
            </w:pPr>
            <w:r>
              <w:rPr>
                <w:rFonts w:hint="eastAsia" w:ascii="宋体" w:hAnsi="宋体" w:cs="宋体"/>
                <w:sz w:val="24"/>
              </w:rPr>
              <w:t>208</w:t>
            </w:r>
          </w:p>
        </w:tc>
        <w:tc>
          <w:tcPr>
            <w:tcW w:w="2268" w:type="dxa"/>
            <w:vAlign w:val="center"/>
          </w:tcPr>
          <w:p>
            <w:pPr>
              <w:widowControl/>
              <w:jc w:val="center"/>
              <w:rPr>
                <w:rFonts w:ascii="宋体" w:hAnsi="宋体" w:cs="宋体"/>
                <w:sz w:val="24"/>
              </w:rPr>
            </w:pPr>
            <w:r>
              <w:rPr>
                <w:rFonts w:hint="eastAsia" w:ascii="宋体" w:hAnsi="宋体" w:cs="宋体"/>
                <w:sz w:val="24"/>
              </w:rPr>
              <w:t/>
            </w:r>
          </w:p>
        </w:tc>
        <w:tc>
          <w:tcPr>
            <w:tcW w:w="2268" w:type="dxa"/>
            <w:vAlign w:val="center"/>
          </w:tcPr>
          <w:p>
            <w:pPr>
              <w:widowControl/>
              <w:jc w:val="center"/>
              <w:rPr>
                <w:rFonts w:ascii="宋体" w:hAnsi="宋体" w:cs="宋体"/>
                <w:sz w:val="24"/>
              </w:rPr>
            </w:pPr>
            <w:r>
              <w:rPr>
                <w:rFonts w:hint="eastAsia" w:ascii="宋体" w:hAnsi="宋体" w:cs="宋体"/>
                <w:sz w:val="24"/>
              </w:rPr>
              <w:t>208</w:t>
            </w:r>
          </w:p>
        </w:tc>
        <w:tc>
          <w:tcPr>
            <w:tcW w:w="2268" w:type="dxa"/>
            <w:vAlign w:val="center"/>
          </w:tcPr>
          <w:p>
            <w:pPr>
              <w:widowControl/>
              <w:jc w:val="center"/>
              <w:rPr>
                <w:rFonts w:ascii="宋体" w:hAnsi="宋体" w:cs="宋体"/>
                <w:sz w:val="24"/>
              </w:rPr>
            </w:pPr>
            <w:r>
              <w:rPr>
                <w:rFonts w:hint="eastAsia" w:ascii="宋体" w:hAnsi="宋体" w:cs="宋体"/>
                <w:sz w:val="24"/>
              </w:rPr>
              <w:t>200.41</w:t>
            </w:r>
          </w:p>
        </w:tc>
        <w:tc>
          <w:tcPr>
            <w:tcW w:w="2268" w:type="dxa"/>
            <w:vAlign w:val="center"/>
          </w:tcPr>
          <w:p>
            <w:pPr>
              <w:widowControl/>
              <w:jc w:val="center"/>
              <w:rPr>
                <w:rFonts w:ascii="宋体" w:hAnsi="宋体" w:cs="宋体"/>
                <w:sz w:val="24"/>
              </w:rPr>
            </w:pPr>
            <w:r>
              <w:rPr>
                <w:rFonts w:hint="eastAsia" w:ascii="宋体" w:hAnsi="宋体" w:cs="宋体"/>
                <w:sz w:val="24"/>
              </w:rPr>
              <w:t>96.35%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ascii="宋体" w:hAnsi="宋体" w:cs="宋体"/>
                <w:kern w:val="0"/>
                <w:sz w:val="24"/>
              </w:rPr>
            </w:pPr>
            <w:r>
              <w:rPr>
                <w:rFonts w:hint="eastAsia" w:ascii="宋体" w:hAnsi="宋体" w:cs="宋体"/>
                <w:sz w:val="24"/>
              </w:rPr>
              <w:t>设备维修维护费</w:t>
            </w:r>
          </w:p>
        </w:tc>
        <w:tc>
          <w:tcPr>
            <w:tcW w:w="2268" w:type="dxa"/>
            <w:vAlign w:val="center"/>
          </w:tcPr>
          <w:p>
            <w:pPr>
              <w:widowControl/>
              <w:jc w:val="center"/>
              <w:rPr>
                <w:rFonts w:ascii="宋体" w:hAnsi="宋体" w:cs="宋体"/>
                <w:kern w:val="0"/>
                <w:sz w:val="24"/>
              </w:rPr>
            </w:pPr>
            <w:r>
              <w:rPr>
                <w:rFonts w:hint="eastAsia" w:ascii="宋体" w:hAnsi="宋体" w:cs="宋体"/>
                <w:sz w:val="24"/>
              </w:rPr>
              <w:t>51.87</w:t>
            </w:r>
          </w:p>
        </w:tc>
        <w:tc>
          <w:tcPr>
            <w:tcW w:w="2268" w:type="dxa"/>
            <w:vAlign w:val="center"/>
          </w:tcPr>
          <w:p>
            <w:pPr>
              <w:widowControl/>
              <w:jc w:val="center"/>
              <w:rPr>
                <w:rFonts w:ascii="宋体" w:hAnsi="宋体" w:cs="宋体"/>
                <w:sz w:val="24"/>
              </w:rPr>
            </w:pPr>
            <w:r>
              <w:rPr>
                <w:rFonts w:hint="eastAsia" w:ascii="宋体" w:hAnsi="宋体" w:cs="宋体"/>
                <w:sz w:val="24"/>
              </w:rPr>
              <w:t/>
            </w:r>
          </w:p>
        </w:tc>
        <w:tc>
          <w:tcPr>
            <w:tcW w:w="2268" w:type="dxa"/>
            <w:vAlign w:val="center"/>
          </w:tcPr>
          <w:p>
            <w:pPr>
              <w:widowControl/>
              <w:jc w:val="center"/>
              <w:rPr>
                <w:rFonts w:ascii="宋体" w:hAnsi="宋体" w:cs="宋体"/>
                <w:sz w:val="24"/>
              </w:rPr>
            </w:pPr>
            <w:r>
              <w:rPr>
                <w:rFonts w:hint="eastAsia" w:ascii="宋体" w:hAnsi="宋体" w:cs="宋体"/>
                <w:sz w:val="24"/>
              </w:rPr>
              <w:t>51.87</w:t>
            </w:r>
          </w:p>
        </w:tc>
        <w:tc>
          <w:tcPr>
            <w:tcW w:w="2268" w:type="dxa"/>
            <w:vAlign w:val="center"/>
          </w:tcPr>
          <w:p>
            <w:pPr>
              <w:widowControl/>
              <w:jc w:val="center"/>
              <w:rPr>
                <w:rFonts w:ascii="宋体" w:hAnsi="宋体" w:cs="宋体"/>
                <w:sz w:val="24"/>
              </w:rPr>
            </w:pPr>
            <w:r>
              <w:rPr>
                <w:rFonts w:hint="eastAsia" w:ascii="宋体" w:hAnsi="宋体" w:cs="宋体"/>
                <w:sz w:val="24"/>
              </w:rPr>
              <w:t>51.87</w:t>
            </w:r>
          </w:p>
        </w:tc>
        <w:tc>
          <w:tcPr>
            <w:tcW w:w="2268" w:type="dxa"/>
            <w:vAlign w:val="center"/>
          </w:tcPr>
          <w:p>
            <w:pPr>
              <w:widowControl/>
              <w:jc w:val="center"/>
              <w:rPr>
                <w:rFonts w:ascii="宋体" w:hAnsi="宋体" w:cs="宋体"/>
                <w:sz w:val="24"/>
              </w:rPr>
            </w:pPr>
            <w:r>
              <w:rPr>
                <w:rFonts w:hint="eastAsia" w:ascii="宋体" w:hAnsi="宋体" w:cs="宋体"/>
                <w:sz w:val="24"/>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ascii="宋体" w:hAnsi="宋体" w:cs="宋体"/>
                <w:kern w:val="0"/>
                <w:sz w:val="24"/>
              </w:rPr>
            </w:pPr>
            <w:r>
              <w:rPr>
                <w:rFonts w:hint="eastAsia" w:ascii="宋体" w:hAnsi="宋体" w:cs="宋体"/>
                <w:sz w:val="24"/>
              </w:rPr>
              <w:t>农业绿色发展科研示范项目</w:t>
            </w:r>
          </w:p>
        </w:tc>
        <w:tc>
          <w:tcPr>
            <w:tcW w:w="2268" w:type="dxa"/>
            <w:vAlign w:val="center"/>
          </w:tcPr>
          <w:p>
            <w:pPr>
              <w:widowControl/>
              <w:jc w:val="center"/>
              <w:rPr>
                <w:rFonts w:ascii="宋体" w:hAnsi="宋体" w:cs="宋体"/>
                <w:kern w:val="0"/>
                <w:sz w:val="24"/>
              </w:rPr>
            </w:pPr>
            <w:r>
              <w:rPr>
                <w:rFonts w:hint="eastAsia" w:ascii="宋体" w:hAnsi="宋体" w:cs="宋体"/>
                <w:sz w:val="24"/>
              </w:rPr>
              <w:t>230</w:t>
            </w:r>
          </w:p>
        </w:tc>
        <w:tc>
          <w:tcPr>
            <w:tcW w:w="2268" w:type="dxa"/>
            <w:vAlign w:val="center"/>
          </w:tcPr>
          <w:p>
            <w:pPr>
              <w:widowControl/>
              <w:jc w:val="center"/>
              <w:rPr>
                <w:rFonts w:ascii="宋体" w:hAnsi="宋体" w:cs="宋体"/>
                <w:sz w:val="24"/>
              </w:rPr>
            </w:pPr>
            <w:r>
              <w:rPr>
                <w:rFonts w:hint="eastAsia" w:ascii="宋体" w:hAnsi="宋体" w:cs="宋体"/>
                <w:sz w:val="24"/>
              </w:rPr>
              <w:t/>
            </w:r>
          </w:p>
        </w:tc>
        <w:tc>
          <w:tcPr>
            <w:tcW w:w="2268" w:type="dxa"/>
            <w:vAlign w:val="center"/>
          </w:tcPr>
          <w:p>
            <w:pPr>
              <w:widowControl/>
              <w:jc w:val="center"/>
              <w:rPr>
                <w:rFonts w:ascii="宋体" w:hAnsi="宋体" w:cs="宋体"/>
                <w:sz w:val="24"/>
              </w:rPr>
            </w:pPr>
            <w:r>
              <w:rPr>
                <w:rFonts w:hint="eastAsia" w:ascii="宋体" w:hAnsi="宋体" w:cs="宋体"/>
                <w:sz w:val="24"/>
              </w:rPr>
              <w:t>230</w:t>
            </w:r>
          </w:p>
        </w:tc>
        <w:tc>
          <w:tcPr>
            <w:tcW w:w="2268" w:type="dxa"/>
            <w:vAlign w:val="center"/>
          </w:tcPr>
          <w:p>
            <w:pPr>
              <w:widowControl/>
              <w:jc w:val="center"/>
              <w:rPr>
                <w:rFonts w:ascii="宋体" w:hAnsi="宋体" w:cs="宋体"/>
                <w:sz w:val="24"/>
              </w:rPr>
            </w:pPr>
            <w:r>
              <w:rPr>
                <w:rFonts w:hint="eastAsia" w:ascii="宋体" w:hAnsi="宋体" w:cs="宋体"/>
                <w:sz w:val="24"/>
              </w:rPr>
              <w:t>230</w:t>
            </w:r>
          </w:p>
        </w:tc>
        <w:tc>
          <w:tcPr>
            <w:tcW w:w="2268" w:type="dxa"/>
            <w:vAlign w:val="center"/>
          </w:tcPr>
          <w:p>
            <w:pPr>
              <w:widowControl/>
              <w:jc w:val="center"/>
              <w:rPr>
                <w:rFonts w:ascii="宋体" w:hAnsi="宋体" w:cs="宋体"/>
                <w:sz w:val="24"/>
              </w:rPr>
            </w:pPr>
            <w:r>
              <w:rPr>
                <w:rFonts w:hint="eastAsia" w:ascii="宋体" w:hAnsi="宋体" w:cs="宋体"/>
                <w:sz w:val="24"/>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ascii="宋体" w:hAnsi="宋体" w:cs="宋体"/>
                <w:kern w:val="0"/>
                <w:sz w:val="24"/>
              </w:rPr>
            </w:pPr>
            <w:r>
              <w:rPr>
                <w:rFonts w:hint="eastAsia" w:ascii="宋体" w:hAnsi="宋体" w:cs="宋体"/>
                <w:sz w:val="24"/>
              </w:rPr>
              <w:t>专项工作经费</w:t>
            </w:r>
          </w:p>
        </w:tc>
        <w:tc>
          <w:tcPr>
            <w:tcW w:w="2268" w:type="dxa"/>
            <w:vAlign w:val="center"/>
          </w:tcPr>
          <w:p>
            <w:pPr>
              <w:widowControl/>
              <w:jc w:val="center"/>
              <w:rPr>
                <w:rFonts w:ascii="宋体" w:hAnsi="宋体" w:cs="宋体"/>
                <w:kern w:val="0"/>
                <w:sz w:val="24"/>
              </w:rPr>
            </w:pPr>
            <w:r>
              <w:rPr>
                <w:rFonts w:hint="eastAsia" w:ascii="宋体" w:hAnsi="宋体" w:cs="宋体"/>
                <w:sz w:val="24"/>
              </w:rPr>
              <w:t>50</w:t>
            </w:r>
          </w:p>
        </w:tc>
        <w:tc>
          <w:tcPr>
            <w:tcW w:w="2268" w:type="dxa"/>
            <w:vAlign w:val="center"/>
          </w:tcPr>
          <w:p>
            <w:pPr>
              <w:widowControl/>
              <w:jc w:val="center"/>
              <w:rPr>
                <w:rFonts w:ascii="宋体" w:hAnsi="宋体" w:cs="宋体"/>
                <w:sz w:val="24"/>
              </w:rPr>
            </w:pPr>
            <w:r>
              <w:rPr>
                <w:rFonts w:hint="eastAsia" w:ascii="宋体" w:hAnsi="宋体" w:cs="宋体"/>
                <w:sz w:val="24"/>
              </w:rPr>
              <w:t/>
            </w:r>
          </w:p>
        </w:tc>
        <w:tc>
          <w:tcPr>
            <w:tcW w:w="2268" w:type="dxa"/>
            <w:vAlign w:val="center"/>
          </w:tcPr>
          <w:p>
            <w:pPr>
              <w:widowControl/>
              <w:jc w:val="center"/>
              <w:rPr>
                <w:rFonts w:ascii="宋体" w:hAnsi="宋体" w:cs="宋体"/>
                <w:sz w:val="24"/>
              </w:rPr>
            </w:pPr>
            <w:r>
              <w:rPr>
                <w:rFonts w:hint="eastAsia" w:ascii="宋体" w:hAnsi="宋体" w:cs="宋体"/>
                <w:sz w:val="24"/>
              </w:rPr>
              <w:t>50</w:t>
            </w:r>
          </w:p>
        </w:tc>
        <w:tc>
          <w:tcPr>
            <w:tcW w:w="2268" w:type="dxa"/>
            <w:vAlign w:val="center"/>
          </w:tcPr>
          <w:p>
            <w:pPr>
              <w:widowControl/>
              <w:jc w:val="center"/>
              <w:rPr>
                <w:rFonts w:ascii="宋体" w:hAnsi="宋体" w:cs="宋体"/>
                <w:sz w:val="24"/>
              </w:rPr>
            </w:pPr>
            <w:r>
              <w:rPr>
                <w:rFonts w:hint="eastAsia" w:ascii="宋体" w:hAnsi="宋体" w:cs="宋体"/>
                <w:sz w:val="24"/>
              </w:rPr>
              <w:t>49.21</w:t>
            </w:r>
          </w:p>
        </w:tc>
        <w:tc>
          <w:tcPr>
            <w:tcW w:w="2268" w:type="dxa"/>
            <w:vAlign w:val="center"/>
          </w:tcPr>
          <w:p>
            <w:pPr>
              <w:widowControl/>
              <w:jc w:val="center"/>
              <w:rPr>
                <w:rFonts w:ascii="宋体" w:hAnsi="宋体" w:cs="宋体"/>
                <w:sz w:val="24"/>
              </w:rPr>
            </w:pPr>
            <w:r>
              <w:rPr>
                <w:rFonts w:hint="eastAsia" w:ascii="宋体" w:hAnsi="宋体" w:cs="宋体"/>
                <w:sz w:val="24"/>
              </w:rPr>
              <w:t>98.42%</w:t>
            </w:r>
          </w:p>
        </w:tc>
      </w:tr>
    </w:tbl>
    <w:p w14:paraId="131ACE80">
      <w:pPr>
        <w:spacing w:line="360" w:lineRule="auto"/>
        <w:ind w:left="600"/>
        <w:rPr>
          <w:rFonts w:ascii="黑体" w:hAnsi="黑体" w:eastAsia="黑体"/>
          <w:sz w:val="30"/>
        </w:rPr>
      </w:pPr>
    </w:p>
    <w:p w14:paraId="74045F82">
      <w:pPr>
        <w:numPr>
          <w:ilvl w:val="0"/>
          <w:numId w:val="1"/>
        </w:numPr>
        <w:spacing w:line="360" w:lineRule="auto"/>
        <w:ind w:left="600"/>
        <w:rPr>
          <w:rFonts w:ascii="黑体" w:hAnsi="黑体" w:eastAsia="黑体"/>
          <w:sz w:val="30"/>
        </w:rPr>
      </w:pPr>
      <w:r>
        <w:rPr>
          <w:rFonts w:hint="eastAsia" w:ascii="黑体" w:hAnsi="黑体" w:eastAsia="黑体"/>
          <w:sz w:val="30"/>
        </w:rPr>
        <w:t>年度重点任务</w:t>
      </w:r>
    </w:p>
    <w:p w14:paraId="0D3A1920">
      <w:pPr>
        <w:spacing w:line="360" w:lineRule="auto"/>
        <w:ind w:left="600"/>
        <w:rPr>
          <w:rFonts w:ascii="黑体" w:hAnsi="黑体" w:eastAsia="黑体"/>
          <w:sz w:val="30"/>
        </w:rPr>
      </w:pPr>
    </w:p>
    <w:tbl>
      <w:tblPr>
        <w:tblStyle w:val="5"/>
        <w:tblW w:w="13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9"/>
        <w:gridCol w:w="3818"/>
        <w:gridCol w:w="6280"/>
      </w:tblGrid>
      <w:tr w14:paraId="4FD8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3419" w:type="dxa"/>
            <w:shd w:val="clear" w:color="000000" w:fill="BFBFBF"/>
            <w:vAlign w:val="center"/>
          </w:tcPr>
          <w:p w14:paraId="1644DE46">
            <w:pPr>
              <w:widowControl/>
              <w:jc w:val="center"/>
              <w:rPr>
                <w:rFonts w:ascii="宋体" w:hAnsi="宋体" w:cs="宋体"/>
                <w:b/>
                <w:bCs/>
                <w:kern w:val="0"/>
                <w:sz w:val="24"/>
              </w:rPr>
            </w:pPr>
          </w:p>
          <w:p w14:paraId="5858CDEA">
            <w:pPr>
              <w:widowControl/>
              <w:jc w:val="center"/>
              <w:rPr>
                <w:rFonts w:ascii="宋体" w:hAnsi="宋体" w:cs="宋体"/>
                <w:b/>
                <w:bCs/>
                <w:kern w:val="0"/>
                <w:sz w:val="24"/>
              </w:rPr>
            </w:pPr>
            <w:r>
              <w:rPr>
                <w:rFonts w:hint="eastAsia" w:ascii="宋体" w:hAnsi="宋体" w:cs="宋体"/>
                <w:b/>
                <w:bCs/>
                <w:kern w:val="0"/>
                <w:sz w:val="24"/>
              </w:rPr>
              <w:t>对应部门主要职责</w:t>
            </w:r>
          </w:p>
          <w:p w14:paraId="3F9E1C75">
            <w:pPr>
              <w:widowControl/>
              <w:jc w:val="center"/>
              <w:rPr>
                <w:rFonts w:ascii="宋体" w:hAnsi="宋体" w:cs="宋体"/>
                <w:b/>
                <w:bCs/>
                <w:kern w:val="0"/>
                <w:sz w:val="24"/>
              </w:rPr>
            </w:pPr>
            <w:r>
              <w:rPr>
                <w:rFonts w:hint="eastAsia" w:ascii="宋体" w:hAnsi="宋体" w:cs="宋体"/>
                <w:b/>
                <w:bCs/>
                <w:kern w:val="0"/>
                <w:sz w:val="24"/>
              </w:rPr>
              <w:t/>
            </w:r>
          </w:p>
        </w:tc>
        <w:tc>
          <w:tcPr>
            <w:tcW w:w="3818" w:type="dxa"/>
            <w:shd w:val="clear" w:color="000000" w:fill="BFBFBF"/>
            <w:vAlign w:val="center"/>
          </w:tcPr>
          <w:p w14:paraId="561C96F1">
            <w:pPr>
              <w:widowControl/>
              <w:jc w:val="center"/>
              <w:rPr>
                <w:rFonts w:ascii="宋体" w:hAnsi="宋体" w:cs="宋体"/>
                <w:b/>
                <w:bCs/>
                <w:kern w:val="0"/>
                <w:sz w:val="24"/>
              </w:rPr>
            </w:pPr>
            <w:r>
              <w:rPr>
                <w:rFonts w:hint="eastAsia" w:ascii="宋体" w:hAnsi="宋体" w:cs="宋体"/>
                <w:b/>
                <w:bCs/>
                <w:kern w:val="0"/>
                <w:sz w:val="24"/>
              </w:rPr>
              <w:t>任务名称</w:t>
            </w:r>
          </w:p>
        </w:tc>
        <w:tc>
          <w:tcPr>
            <w:tcW w:w="6280" w:type="dxa"/>
            <w:shd w:val="clear" w:color="000000" w:fill="BFBFBF"/>
            <w:vAlign w:val="center"/>
          </w:tcPr>
          <w:p w14:paraId="77A795C7">
            <w:pPr>
              <w:widowControl/>
              <w:jc w:val="center"/>
              <w:rPr>
                <w:rFonts w:ascii="宋体" w:hAnsi="宋体" w:cs="宋体"/>
                <w:b/>
                <w:bCs/>
                <w:kern w:val="0"/>
                <w:sz w:val="24"/>
              </w:rPr>
            </w:pPr>
            <w:r>
              <w:rPr>
                <w:rFonts w:hint="eastAsia" w:ascii="宋体" w:hAnsi="宋体" w:cs="宋体"/>
                <w:b/>
                <w:bCs/>
                <w:kern w:val="0"/>
                <w:sz w:val="24"/>
              </w:rPr>
              <w:t>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rPr>
          <w:trHeight w:val="608"/>
        </w:trPr>
        <w:trPr>
          <w:trHeight w:val="608"/>
        </w:trPr>
        <w:trPr>
          <w:trHeight w:val="608"/>
        </w:trPr>
        <w:tc>
          <w:tcPr>
            <w:tcW w:w="3419" w:type="dxa"/>
            <w:vAlign w:val="center"/>
          </w:tcPr>
          <w:tcPr>
            <w:vMerge w:val="restart"/>
          </w:tcPr>
          <w:p>
            <w:pPr>
              <w:widowControl/>
              <w:jc w:val="center"/>
              <w:rPr>
                <w:rFonts w:ascii="宋体" w:hAnsi="宋体" w:cs="宋体"/>
                <w:kern w:val="0"/>
                <w:sz w:val="24"/>
              </w:rPr>
            </w:pPr>
            <w:r>
              <w:rPr>
                <w:rFonts w:hint="eastAsia" w:ascii="宋体" w:hAnsi="宋体" w:cs="宋体"/>
                <w:sz w:val="24"/>
              </w:rPr>
              <w:t>农业科研</w:t>
            </w:r>
          </w:p>
        </w:tc>
        <w:tc>
          <w:tcPr>
            <w:tcW w:w="3818" w:type="dxa"/>
            <w:vAlign w:val="center"/>
          </w:tcPr>
          <w:p>
            <w:pPr>
              <w:widowControl/>
              <w:jc w:val="center"/>
              <w:rPr>
                <w:rFonts w:ascii="宋体" w:hAnsi="宋体" w:cs="宋体"/>
                <w:sz w:val="24"/>
              </w:rPr>
            </w:pPr>
            <w:r>
              <w:rPr>
                <w:rFonts w:hint="eastAsia" w:ascii="宋体" w:hAnsi="宋体" w:cs="宋体"/>
                <w:sz w:val="24"/>
              </w:rPr>
              <w:t>加快成果产出与转化应用</w:t>
            </w:r>
          </w:p>
        </w:tc>
        <w:tc>
          <w:tcPr>
            <w:tcW w:w="6280" w:type="dxa"/>
            <w:vAlign w:val="center"/>
          </w:tcPr>
          <w:p>
            <w:pPr>
              <w:widowControl/>
              <w:jc w:val="center"/>
              <w:rPr>
                <w:rFonts w:ascii="宋体" w:hAnsi="宋体" w:cs="宋体"/>
                <w:sz w:val="24"/>
              </w:rPr>
            </w:pPr>
            <w:r>
              <w:rPr>
                <w:rFonts w:hint="eastAsia" w:ascii="宋体" w:hAnsi="宋体" w:cs="宋体"/>
                <w:sz w:val="24"/>
              </w:rPr>
              <w:t>新签订技术合同35个，新增技术合同经费50万元，完成技术报告20份，纵向项目立项10项，横向项目立项12项，国内外核心期刊发表论文20篇，申请发明专利10件，新品种评比鉴定10件，撰写技术规程2项，列为省市主推技术5项，项目成果应用10万亩，服务生产经营主体数20个。农业绿色科研示范项目实施期内，组织开展四次现场观摩与专题培训，有效提升了农户的实操能力；项目主推技术在核心示范基地的应用覆盖率稳定超过75%，实现了技术的有效落地。同时，累计发表相关技术成果、示范成效或进展报道四篇次，形成了良好的辐射效应。参与培训及技术服务的经营主体对项目实施的总体满意度达到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rPr>
          <w:trHeight w:val="608"/>
        </w:trPr>
        <w:trPr>
          <w:trHeight w:val="608"/>
        </w:trPr>
        <w:trPr>
          <w:trHeight w:val="608"/>
        </w:trPr>
        <w:tc>
          <w:tcPr>
            <w:tcW w:w="3419" w:type="dxa"/>
            <w:vAlign w:val="center"/>
          </w:tcPr>
          <w:tcPr>
            <w:vMerge w:val="continue"/>
          </w:tcPr>
          <w:p>
            <w:pPr>
              <w:widowControl/>
              <w:jc w:val="center"/>
              <w:rPr>
                <w:rFonts w:ascii="宋体" w:hAnsi="宋体" w:cs="宋体"/>
                <w:kern w:val="0"/>
                <w:sz w:val="24"/>
              </w:rPr>
            </w:pPr>
            <w:r>
              <w:rPr>
                <w:rFonts w:hint="eastAsia" w:ascii="宋体" w:hAnsi="宋体" w:cs="宋体"/>
                <w:sz w:val="24"/>
              </w:rPr>
              <w:t/>
            </w:r>
          </w:p>
        </w:tc>
        <w:tc>
          <w:tcPr>
            <w:tcW w:w="3818" w:type="dxa"/>
            <w:vAlign w:val="center"/>
          </w:tcPr>
          <w:p>
            <w:pPr>
              <w:widowControl/>
              <w:jc w:val="center"/>
              <w:rPr>
                <w:rFonts w:ascii="宋体" w:hAnsi="宋体" w:cs="宋体"/>
                <w:sz w:val="24"/>
              </w:rPr>
            </w:pPr>
            <w:r>
              <w:rPr>
                <w:rFonts w:hint="eastAsia" w:ascii="宋体" w:hAnsi="宋体" w:cs="宋体"/>
                <w:sz w:val="24"/>
              </w:rPr>
              <w:t>推动基地条件建设提档升级</w:t>
            </w:r>
          </w:p>
        </w:tc>
        <w:tc>
          <w:tcPr>
            <w:tcW w:w="6280" w:type="dxa"/>
            <w:vAlign w:val="center"/>
          </w:tcPr>
          <w:p>
            <w:pPr>
              <w:widowControl/>
              <w:jc w:val="center"/>
              <w:rPr>
                <w:rFonts w:ascii="宋体" w:hAnsi="宋体" w:cs="宋体"/>
                <w:sz w:val="24"/>
              </w:rPr>
            </w:pPr>
            <w:r>
              <w:rPr>
                <w:rFonts w:hint="eastAsia" w:ascii="宋体" w:hAnsi="宋体" w:cs="宋体"/>
                <w:sz w:val="24"/>
              </w:rPr>
              <w:t>新发展规划基础设施建设工程项目已严格按照批复内容完成全部建设任务，共计建成科研辅助用房1383.2平方米，涵盖农机仓库、种子仓库、挂藏室等五大功能区。工程建设质量通过竣工验收，合格率达100%，结构安全、功能布局符合设计要求。项目建成后，有效解决了基地长期存在的农机具露天存放易锈蚀、种子稻米贮藏条件简陋、科研材料堆放杂乱等历史难题，实现了科研物资从“粗放堆放”向“分类规范存储”的转变。通过第三方提供科研辅助服务，有效应对了季节性生产高峰和突发任务，提升了基地精细化管理水平，环境卫生和基础设施得到及时维护，科研生产环境显著改善。防火门更换彻底解决了消防通道隐患，提升了综合楼防火能力；防水工程保护了建筑主体结构，延长使用寿命；围栏建成使基地实现封闭管理，治安案件明显下降；日常设备维修保障了办公秩序，实现了资产保值增值和安全管理双提升。</w:t>
            </w:r>
          </w:p>
        </w:tc>
      </w:tr>
    </w:tbl>
    <w:p w14:paraId="24A38881">
      <w:pPr>
        <w:spacing w:line="360" w:lineRule="auto"/>
        <w:ind w:left="600"/>
        <w:rPr>
          <w:rFonts w:ascii="黑体" w:hAnsi="黑体" w:eastAsia="黑体"/>
          <w:sz w:val="30"/>
        </w:rPr>
      </w:pPr>
    </w:p>
    <w:p w14:paraId="2EB75D17">
      <w:pPr>
        <w:spacing w:line="360" w:lineRule="auto"/>
        <w:ind w:left="600"/>
        <w:rPr>
          <w:rFonts w:ascii="黑体" w:hAnsi="黑体" w:eastAsia="黑体"/>
          <w:sz w:val="30"/>
        </w:rPr>
      </w:pPr>
    </w:p>
    <w:p w14:paraId="0A35E1A9">
      <w:pPr>
        <w:numPr>
          <w:ilvl w:val="0"/>
          <w:numId w:val="1"/>
        </w:numPr>
        <w:spacing w:line="360" w:lineRule="auto"/>
        <w:ind w:left="600"/>
        <w:rPr>
          <w:rFonts w:ascii="黑体" w:hAnsi="黑体" w:eastAsia="黑体"/>
          <w:sz w:val="30"/>
        </w:rPr>
      </w:pPr>
      <w:r>
        <w:rPr>
          <w:rFonts w:hint="eastAsia" w:ascii="黑体" w:hAnsi="黑体" w:eastAsia="黑体"/>
          <w:sz w:val="30"/>
        </w:rPr>
        <w:t>部门整体自评表</w:t>
      </w:r>
    </w:p>
    <w:tbl>
      <w:tblPr>
        <w:tblStyle w:val="5"/>
        <w:tblpPr w:leftFromText="180" w:rightFromText="180" w:vertAnchor="text" w:horzAnchor="page" w:tblpX="1656" w:tblpY="127"/>
        <w:tblOverlap w:val="never"/>
        <w:tblW w:w="146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7"/>
        <w:gridCol w:w="2051"/>
        <w:gridCol w:w="2061"/>
        <w:gridCol w:w="1987"/>
        <w:gridCol w:w="1799"/>
        <w:gridCol w:w="1866"/>
        <w:gridCol w:w="1787"/>
        <w:gridCol w:w="1071"/>
      </w:tblGrid>
      <w:tr w14:paraId="0B32D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2067" w:type="dxa"/>
            <w:shd w:val="clear" w:color="000000" w:fill="BFBFBF"/>
            <w:vAlign w:val="center"/>
          </w:tcPr>
          <w:p w14:paraId="53BD466F">
            <w:pPr>
              <w:widowControl/>
              <w:jc w:val="center"/>
              <w:rPr>
                <w:rFonts w:ascii="宋体" w:hAnsi="宋体" w:cs="宋体"/>
                <w:b/>
                <w:bCs/>
                <w:kern w:val="0"/>
                <w:sz w:val="24"/>
              </w:rPr>
            </w:pPr>
            <w:r>
              <w:rPr>
                <w:rFonts w:hint="eastAsia" w:ascii="宋体" w:hAnsi="宋体" w:cs="宋体"/>
                <w:b/>
                <w:bCs/>
                <w:kern w:val="0"/>
                <w:sz w:val="24"/>
              </w:rPr>
              <w:t/>
            </w:r>
          </w:p>
        </w:tc>
        <w:tc>
          <w:tcPr>
            <w:tcW w:w="2051" w:type="dxa"/>
            <w:shd w:val="clear" w:color="000000" w:fill="BFBFBF"/>
            <w:vAlign w:val="center"/>
          </w:tcPr>
          <w:p w14:paraId="1CC58553">
            <w:pPr>
              <w:widowControl/>
              <w:jc w:val="center"/>
              <w:rPr>
                <w:rFonts w:ascii="宋体" w:hAnsi="宋体" w:cs="宋体"/>
                <w:b/>
                <w:bCs/>
                <w:kern w:val="0"/>
                <w:sz w:val="24"/>
              </w:rPr>
            </w:pPr>
            <w:r>
              <w:rPr>
                <w:rFonts w:hint="eastAsia" w:ascii="宋体" w:hAnsi="宋体" w:cs="宋体"/>
                <w:b/>
                <w:bCs/>
                <w:sz w:val="24"/>
              </w:rPr>
              <w:t>类别</w:t>
            </w:r>
          </w:p>
        </w:tc>
        <w:tc>
          <w:tcPr>
            <w:tcW w:w="2061" w:type="dxa"/>
            <w:shd w:val="clear" w:color="000000" w:fill="BFBFBF"/>
            <w:vAlign w:val="center"/>
          </w:tcPr>
          <w:p w14:paraId="3F4DC382">
            <w:pPr>
              <w:widowControl/>
              <w:jc w:val="center"/>
              <w:rPr>
                <w:rFonts w:ascii="宋体" w:hAnsi="宋体" w:cs="宋体"/>
                <w:b/>
                <w:bCs/>
                <w:kern w:val="0"/>
                <w:sz w:val="24"/>
              </w:rPr>
            </w:pPr>
            <w:r>
              <w:rPr>
                <w:rFonts w:hint="eastAsia" w:ascii="宋体" w:hAnsi="宋体" w:cs="宋体"/>
                <w:b/>
                <w:bCs/>
                <w:sz w:val="24"/>
              </w:rPr>
              <w:t>指标名称</w:t>
            </w:r>
          </w:p>
        </w:tc>
        <w:tc>
          <w:tcPr>
            <w:tcW w:w="1987" w:type="dxa"/>
            <w:shd w:val="clear" w:color="000000" w:fill="BFBFBF"/>
            <w:vAlign w:val="center"/>
          </w:tcPr>
          <w:p w14:paraId="5D2A2967">
            <w:pPr>
              <w:widowControl/>
              <w:jc w:val="center"/>
              <w:rPr>
                <w:rFonts w:ascii="宋体" w:hAnsi="宋体" w:cs="宋体"/>
                <w:b/>
                <w:bCs/>
                <w:kern w:val="0"/>
                <w:sz w:val="24"/>
              </w:rPr>
            </w:pPr>
            <w:r>
              <w:rPr>
                <w:rFonts w:hint="eastAsia" w:ascii="宋体" w:hAnsi="宋体" w:cs="宋体"/>
                <w:b/>
                <w:bCs/>
                <w:sz w:val="24"/>
              </w:rPr>
              <w:t>指标目标值</w:t>
            </w:r>
          </w:p>
        </w:tc>
        <w:tc>
          <w:tcPr>
            <w:tcW w:w="1799" w:type="dxa"/>
            <w:shd w:val="clear" w:color="000000" w:fill="BFBFBF"/>
            <w:vAlign w:val="center"/>
          </w:tcPr>
          <w:p w14:paraId="700B5F42">
            <w:pPr>
              <w:widowControl/>
              <w:jc w:val="center"/>
              <w:rPr>
                <w:rFonts w:ascii="宋体" w:hAnsi="宋体" w:cs="宋体"/>
                <w:b/>
                <w:bCs/>
                <w:kern w:val="0"/>
                <w:sz w:val="24"/>
              </w:rPr>
            </w:pPr>
            <w:r>
              <w:rPr>
                <w:rFonts w:hint="eastAsia" w:ascii="宋体" w:hAnsi="宋体" w:cs="宋体"/>
                <w:b/>
                <w:bCs/>
                <w:sz w:val="24"/>
              </w:rPr>
              <w:t>指标完成值</w:t>
            </w:r>
          </w:p>
        </w:tc>
        <w:tc>
          <w:tcPr>
            <w:tcW w:w="1866" w:type="dxa"/>
            <w:shd w:val="clear" w:color="000000" w:fill="BFBFBF"/>
            <w:vAlign w:val="center"/>
          </w:tcPr>
          <w:p w14:paraId="3082178C">
            <w:pPr>
              <w:widowControl/>
              <w:jc w:val="center"/>
              <w:rPr>
                <w:rFonts w:ascii="宋体" w:hAnsi="宋体" w:cs="宋体"/>
                <w:b/>
                <w:bCs/>
                <w:kern w:val="0"/>
                <w:sz w:val="24"/>
              </w:rPr>
            </w:pPr>
            <w:r>
              <w:rPr>
                <w:rFonts w:hint="eastAsia" w:ascii="宋体" w:hAnsi="宋体" w:cs="宋体"/>
                <w:b/>
                <w:bCs/>
                <w:sz w:val="24"/>
              </w:rPr>
              <w:t>完成值来源</w:t>
            </w:r>
          </w:p>
        </w:tc>
        <w:tc>
          <w:tcPr>
            <w:tcW w:w="1787" w:type="dxa"/>
            <w:shd w:val="clear" w:color="000000" w:fill="BFBFBF"/>
            <w:vAlign w:val="center"/>
          </w:tcPr>
          <w:p w14:paraId="49382FB0">
            <w:pPr>
              <w:widowControl/>
              <w:jc w:val="center"/>
              <w:rPr>
                <w:rFonts w:ascii="宋体" w:hAnsi="宋体" w:cs="宋体"/>
                <w:b/>
                <w:bCs/>
                <w:sz w:val="24"/>
              </w:rPr>
            </w:pPr>
            <w:r>
              <w:rPr>
                <w:rFonts w:hint="eastAsia" w:ascii="宋体" w:hAnsi="宋体" w:cs="宋体"/>
                <w:b/>
                <w:bCs/>
                <w:sz w:val="24"/>
              </w:rPr>
              <w:t>偏差情况</w:t>
            </w:r>
          </w:p>
        </w:tc>
        <w:tc>
          <w:tcPr>
            <w:tcW w:w="1071" w:type="dxa"/>
            <w:shd w:val="clear" w:color="000000" w:fill="BFBFBF"/>
          </w:tcPr>
          <w:p w14:paraId="6998F3EA">
            <w:pPr>
              <w:widowControl/>
              <w:jc w:val="center"/>
              <w:rPr>
                <w:rFonts w:ascii="黑体" w:hAnsi="黑体" w:eastAsia="黑体"/>
                <w:sz w:val="30"/>
              </w:rPr>
            </w:pPr>
            <w:r>
              <w:rPr>
                <w:rFonts w:hint="eastAsia" w:ascii="宋体" w:hAnsi="宋体" w:cs="宋体"/>
                <w:b/>
                <w:bCs/>
                <w:sz w:val="24"/>
              </w:rPr>
              <w:t>原因分析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restart"/>
          </w:tcPr>
          <w:p>
            <w:pPr>
              <w:spacing w:line="360" w:lineRule="auto"/>
              <w:jc w:val="center"/>
              <w:rPr>
                <w:rFonts w:ascii="宋体" w:hAnsi="宋体" w:cs="宋体"/>
                <w:kern w:val="0"/>
                <w:sz w:val="24"/>
              </w:rPr>
            </w:pPr>
            <w:r>
              <w:rPr>
                <w:rFonts w:hint="eastAsia" w:ascii="宋体" w:hAnsi="宋体" w:cs="宋体"/>
                <w:sz w:val="24"/>
              </w:rPr>
              <w:t>分解目标</w:t>
            </w:r>
          </w:p>
        </w:tc>
        <w:tc>
          <w:tcPr>
            <w:tcW w:w="2051" w:type="dxa"/>
            <w:vAlign w:val="center"/>
          </w:tcPr>
          <w:tcPr>
            <w:vMerge w:val="restart"/>
          </w:tcPr>
          <w:p>
            <w:pPr>
              <w:spacing w:line="360" w:lineRule="auto"/>
              <w:jc w:val="center"/>
              <w:rPr>
                <w:rFonts w:ascii="宋体" w:hAnsi="宋体" w:cs="宋体"/>
                <w:kern w:val="0"/>
                <w:sz w:val="24"/>
              </w:rPr>
            </w:pPr>
            <w:r>
              <w:rPr>
                <w:rFonts w:hint="eastAsia" w:ascii="宋体" w:hAnsi="宋体" w:cs="宋体"/>
                <w:sz w:val="24"/>
              </w:rPr>
              <w:t>决策</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中长期规划制定健全性</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健全</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健全</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预算绩效实施方案</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工作计划制定健全性</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健全</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健全</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预算绩效实施方案</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绩效指标明确性</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明确</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明确</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预算绩效实施方案</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绩效目标合理性</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合理</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合理</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预算绩效实施方案</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预算编制科学性</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科学</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科学</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预算公开文档</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预算编制规范性</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规范</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规范</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预算公开文档</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restart"/>
          </w:tcPr>
          <w:p>
            <w:pPr>
              <w:spacing w:line="360" w:lineRule="auto"/>
              <w:jc w:val="center"/>
              <w:rPr>
                <w:rFonts w:ascii="宋体" w:hAnsi="宋体" w:cs="宋体"/>
                <w:kern w:val="0"/>
                <w:sz w:val="24"/>
              </w:rPr>
            </w:pPr>
            <w:r>
              <w:rPr>
                <w:rFonts w:hint="eastAsia" w:ascii="宋体" w:hAnsi="宋体" w:cs="宋体"/>
                <w:sz w:val="24"/>
              </w:rPr>
              <w:t>过程</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绩效管理覆盖率</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=100%</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100%</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预算绩效管理办法</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0.00%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非税收入管理合规性</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合规</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合规</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非税收入管理要求</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预算管理制度健全性</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健全</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健全</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预算绩效管理办法</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预决算信息公开度</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公开</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公开</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预算公开文档</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资金使用合规性</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合规</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合规</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内控管理要求</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基础信息完善性</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完善</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完善</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内控管理要求</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资产管理制度健全性</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健全</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健全</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资产管理制度</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固定资产利用率</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=100%</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100%</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固定资产台账</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0.00%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资产管理规范性</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规范</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规范</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资产管理制度</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项目管理制度健全性</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健全</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健全</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制度</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项目管理制度执行规范性</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规范</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规范</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制度</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人员管理制度健全性</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健全</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健全</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制度</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在职人员控制率</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=100%</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93.16%</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三定方案及2025.12月工资表</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-6.84%</w:t>
            </w:r>
          </w:p>
        </w:tc>
        <w:tc>
          <w:tcPr>
            <w:tcW w:w="1071" w:type="dxa"/>
          </w:tcPr>
          <w:p>
            <w:pPr>
              <w:spacing w:line="360" w:lineRule="auto"/>
              <w:rPr>
                <w:rFonts w:ascii="宋体" w:hAnsi="宋体" w:cs="宋体"/>
                <w:kern w:val="0"/>
                <w:sz w:val="22"/>
              </w:rPr>
            </w:pPr>
            <w:r>
              <w:rPr>
                <w:rFonts w:hint="eastAsia" w:ascii="宋体" w:hAnsi="宋体" w:cs="宋体"/>
                <w:sz w:val="24"/>
              </w:rPr>
              <w:t>实际在职人员小于编制数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人员管理制度执行有效性</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有效</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有效</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制度</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纪检监察工作有效性</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有效</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有效</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工作总结</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组织建设工作及时完成率</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=100%</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100%</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工作总结</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0.00%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业务学习与培训及时完成率</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=100%</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100%</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工作总结</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0.00%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政府采购执行率</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=100%</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98.18%</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政采合同</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-1.82%</w:t>
            </w:r>
          </w:p>
        </w:tc>
        <w:tc>
          <w:tcPr>
            <w:tcW w:w="1071" w:type="dxa"/>
          </w:tcPr>
          <w:p>
            <w:pPr>
              <w:spacing w:line="360" w:lineRule="auto"/>
              <w:rPr>
                <w:rFonts w:ascii="宋体" w:hAnsi="宋体" w:cs="宋体"/>
                <w:kern w:val="0"/>
                <w:sz w:val="22"/>
              </w:rPr>
            </w:pPr>
            <w:r>
              <w:rPr>
                <w:rFonts w:hint="eastAsia" w:ascii="宋体" w:hAnsi="宋体" w:cs="宋体"/>
                <w:sz w:val="24"/>
              </w:rPr>
              <w:t>实际政采金额数与预算有差异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“三公经费”变动率</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&lt;=0%</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-33.33%</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2025年决算报表</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100%</w:t>
            </w:r>
          </w:p>
        </w:tc>
        <w:tc>
          <w:tcPr>
            <w:tcW w:w="1071" w:type="dxa"/>
          </w:tcPr>
          <w:p>
            <w:pPr>
              <w:spacing w:line="360" w:lineRule="auto"/>
              <w:rPr>
                <w:rFonts w:ascii="宋体" w:hAnsi="宋体" w:cs="宋体"/>
                <w:kern w:val="0"/>
                <w:sz w:val="22"/>
              </w:rPr>
            </w:pPr>
            <w:r>
              <w:rPr>
                <w:rFonts w:hint="eastAsia" w:ascii="宋体" w:hAnsi="宋体" w:cs="宋体"/>
                <w:sz w:val="24"/>
              </w:rPr>
              <w:t>“三公经费”使用比上年少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预算偏差率</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&lt;=10%</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-1.38%</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2025年决算报表</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-113.80%</w:t>
            </w:r>
          </w:p>
        </w:tc>
        <w:tc>
          <w:tcPr>
            <w:tcW w:w="1071" w:type="dxa"/>
          </w:tcPr>
          <w:p>
            <w:pPr>
              <w:spacing w:line="360" w:lineRule="auto"/>
              <w:rPr>
                <w:rFonts w:ascii="宋体" w:hAnsi="宋体" w:cs="宋体"/>
                <w:kern w:val="0"/>
                <w:sz w:val="22"/>
              </w:rPr>
            </w:pPr>
            <w:r>
              <w:rPr>
                <w:rFonts w:hint="eastAsia" w:ascii="宋体" w:hAnsi="宋体" w:cs="宋体"/>
                <w:sz w:val="24"/>
              </w:rPr>
              <w:t>部分科研经费未能全部支完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预算调整率</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=0%</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31.01%</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2025年决算报表</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100%</w:t>
            </w:r>
          </w:p>
        </w:tc>
        <w:tc>
          <w:tcPr>
            <w:tcW w:w="1071" w:type="dxa"/>
          </w:tcPr>
          <w:p>
            <w:pPr>
              <w:spacing w:line="360" w:lineRule="auto"/>
              <w:rPr>
                <w:rFonts w:ascii="宋体" w:hAnsi="宋体" w:cs="宋体"/>
                <w:kern w:val="0"/>
                <w:sz w:val="22"/>
              </w:rPr>
            </w:pPr>
            <w:r>
              <w:rPr>
                <w:rFonts w:hint="eastAsia" w:ascii="宋体" w:hAnsi="宋体" w:cs="宋体"/>
                <w:sz w:val="24"/>
              </w:rPr>
              <w:t>追加人员经费预算和科研项目经费预算，减少基础设施工程预算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结转结余率</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=0%</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1.39%</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2025年决算报表</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100%</w:t>
            </w:r>
          </w:p>
        </w:tc>
        <w:tc>
          <w:tcPr>
            <w:tcW w:w="1071" w:type="dxa"/>
          </w:tcPr>
          <w:p>
            <w:pPr>
              <w:spacing w:line="360" w:lineRule="auto"/>
              <w:rPr>
                <w:rFonts w:ascii="宋体" w:hAnsi="宋体" w:cs="宋体"/>
                <w:kern w:val="0"/>
                <w:sz w:val="22"/>
              </w:rPr>
            </w:pPr>
            <w:r>
              <w:rPr>
                <w:rFonts w:hint="eastAsia" w:ascii="宋体" w:hAnsi="宋体" w:cs="宋体"/>
                <w:sz w:val="24"/>
              </w:rPr>
              <w:t>科研项目有结余结转资金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支付进度符合率</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=100%</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100%</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2025年单位执行情况汇总表</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0.00%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预算执行率</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=100%</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98.61%</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2025年指标执行进度表</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-1.39%</w:t>
            </w:r>
          </w:p>
        </w:tc>
        <w:tc>
          <w:tcPr>
            <w:tcW w:w="1071" w:type="dxa"/>
          </w:tcPr>
          <w:p>
            <w:pPr>
              <w:spacing w:line="360" w:lineRule="auto"/>
              <w:rPr>
                <w:rFonts w:ascii="宋体" w:hAnsi="宋体" w:cs="宋体"/>
                <w:kern w:val="0"/>
                <w:sz w:val="22"/>
              </w:rPr>
            </w:pPr>
            <w:r>
              <w:rPr>
                <w:rFonts w:hint="eastAsia" w:ascii="宋体" w:hAnsi="宋体" w:cs="宋体"/>
                <w:sz w:val="24"/>
              </w:rPr>
              <w:t>部分科研经费未能全部支完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非税收入预算完成率</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&gt;=100%</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144.23%</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2025年非税收入核对表</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44.23%</w:t>
            </w:r>
          </w:p>
        </w:tc>
        <w:tc>
          <w:tcPr>
            <w:tcW w:w="1071" w:type="dxa"/>
          </w:tcPr>
          <w:p>
            <w:pPr>
              <w:spacing w:line="360" w:lineRule="auto"/>
              <w:rPr>
                <w:rFonts w:ascii="宋体" w:hAnsi="宋体" w:cs="宋体"/>
                <w:kern w:val="0"/>
                <w:sz w:val="22"/>
              </w:rPr>
            </w:pPr>
            <w:r>
              <w:rPr>
                <w:rFonts w:hint="eastAsia" w:ascii="宋体" w:hAnsi="宋体" w:cs="宋体"/>
                <w:sz w:val="24"/>
              </w:rPr>
              <w:t>争取的非税课题经费比预算多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公用经费控制率</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&lt;=100%</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39.22%</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2025年决算报表</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-60.78%</w:t>
            </w:r>
          </w:p>
        </w:tc>
        <w:tc>
          <w:tcPr>
            <w:tcW w:w="1071" w:type="dxa"/>
          </w:tcPr>
          <w:p>
            <w:pPr>
              <w:spacing w:line="360" w:lineRule="auto"/>
              <w:rPr>
                <w:rFonts w:ascii="宋体" w:hAnsi="宋体" w:cs="宋体"/>
                <w:kern w:val="0"/>
                <w:sz w:val="22"/>
              </w:rPr>
            </w:pPr>
            <w:r>
              <w:rPr>
                <w:rFonts w:hint="eastAsia" w:ascii="宋体" w:hAnsi="宋体" w:cs="宋体"/>
                <w:sz w:val="24"/>
              </w:rPr>
              <w:t>“三公经费”使用比上年少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restart"/>
          </w:tcPr>
          <w:p>
            <w:pPr>
              <w:spacing w:line="360" w:lineRule="auto"/>
              <w:jc w:val="center"/>
              <w:rPr>
                <w:rFonts w:ascii="宋体" w:hAnsi="宋体" w:cs="宋体"/>
                <w:kern w:val="0"/>
                <w:sz w:val="24"/>
              </w:rPr>
            </w:pPr>
            <w:r>
              <w:rPr>
                <w:rFonts w:hint="eastAsia" w:ascii="宋体" w:hAnsi="宋体" w:cs="宋体"/>
                <w:sz w:val="24"/>
              </w:rPr>
              <w:t>效益</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服务苏州农业生产</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服务</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服务</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工作总结</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科研基地正常运转</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正常</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正常</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工作总结</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restart"/>
          </w:tcPr>
          <w:p>
            <w:pPr>
              <w:spacing w:line="360" w:lineRule="auto"/>
              <w:jc w:val="center"/>
              <w:rPr>
                <w:rFonts w:ascii="宋体" w:hAnsi="宋体" w:cs="宋体"/>
                <w:kern w:val="0"/>
                <w:sz w:val="24"/>
              </w:rPr>
            </w:pPr>
            <w:r>
              <w:rPr>
                <w:rFonts w:hint="eastAsia" w:ascii="宋体" w:hAnsi="宋体" w:cs="宋体"/>
                <w:sz w:val="24"/>
              </w:rPr>
              <w:t>履职</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技术报告数量</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&gt;=20份</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20份</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技术报告</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0.00%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撰写技术规程</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&gt;=2个</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2个</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技术规程</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0.00%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项目成果应用成果</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&gt;=10万亩</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10万亩</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应用证明</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0.00%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农机维修台数</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=10套</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10套</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维修单据</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0.00%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大型仪器维护台数</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=3台</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3台</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维修单据</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0.00%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申请发明专利数</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&gt;=10个</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10个</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专利证书</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0.00%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科研辅助工工时数</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&gt;=178800工时</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178800工时</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用工情况</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0.00%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土地租赁面积</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=310.39亩</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310.39亩</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租赁合同</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0.00%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新品种评比鉴定</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&gt;=10个</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10个</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产品鉴定证明、登记证书</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0.00%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防火门维修数</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=100扇</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100扇</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维修合同</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0.00%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技术服务项目合同数</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&gt;=35个</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35个</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技术服务合同</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0.00%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物业服务面积</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=13626.81平方米</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13626.81平方米</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服务合同</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0.00%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成果转化或技术服务收益</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&gt;=50万元</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50万元</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成果转化或技术服务合同</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0.00%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服务生产经营主体数</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&gt;=20个</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20个</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工作站信息卡</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0.00%</w:t>
            </w:r>
          </w:p>
        </w:tc>
        <w:tc>
          <w:tcPr>
            <w:tcW w:w="1071" w:type="dxa"/>
          </w:tcPr>
          <w:p>
            <w:pPr>
              <w:spacing w:line="360" w:lineRule="auto"/>
              <w:rPr>
                <w:rFonts w:ascii="宋体" w:hAnsi="宋体" w:cs="宋体"/>
                <w:kern w:val="0"/>
                <w:sz w:val="22"/>
              </w:rPr>
            </w:pPr>
            <w:r>
              <w:rPr>
                <w:rFonts w:hint="eastAsia" w:ascii="宋体" w:hAnsi="宋体" w:cs="宋体"/>
                <w:sz w:val="24"/>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51" w:type="dxa"/>
            <w:vAlign w:val="center"/>
          </w:tcPr>
          <w:tcPr>
            <w:vMerge w:val="continue"/>
          </w:tcPr>
          <w:p>
            <w:pPr>
              <w:spacing w:line="360" w:lineRule="auto"/>
              <w:jc w:val="center"/>
              <w:rPr>
                <w:rFonts w:ascii="宋体" w:hAnsi="宋体" w:cs="宋体"/>
                <w:kern w:val="0"/>
                <w:sz w:val="24"/>
              </w:rPr>
            </w:pPr>
            <w:r>
              <w:rPr>
                <w:rFonts w:hint="eastAsia" w:ascii="宋体" w:hAnsi="宋体" w:cs="宋体"/>
                <w:sz w:val="24"/>
              </w:rPr>
              <w:t/>
            </w:r>
          </w:p>
        </w:tc>
        <w:tc>
          <w:tcPr>
            <w:tcW w:w="2061" w:type="dxa"/>
            <w:vAlign w:val="center"/>
          </w:tcPr>
          <w:p>
            <w:pPr>
              <w:spacing w:line="360" w:lineRule="auto"/>
              <w:jc w:val="center"/>
              <w:rPr>
                <w:rFonts w:ascii="宋体" w:hAnsi="宋体" w:cs="宋体"/>
                <w:kern w:val="0"/>
                <w:sz w:val="24"/>
              </w:rPr>
            </w:pPr>
            <w:r>
              <w:rPr>
                <w:rFonts w:hint="eastAsia" w:ascii="宋体" w:hAnsi="宋体" w:cs="宋体"/>
                <w:sz w:val="24"/>
              </w:rPr>
              <w:t>国内外核心期刊发表论文数</w:t>
            </w:r>
          </w:p>
        </w:tc>
        <w:tc>
          <w:tcPr>
            <w:tcW w:w="1987" w:type="dxa"/>
            <w:vAlign w:val="center"/>
          </w:tcPr>
          <w:p>
            <w:pPr>
              <w:spacing w:line="360" w:lineRule="auto"/>
              <w:jc w:val="center"/>
              <w:rPr>
                <w:rFonts w:ascii="宋体" w:hAnsi="宋体" w:cs="宋体"/>
                <w:kern w:val="0"/>
                <w:sz w:val="24"/>
              </w:rPr>
            </w:pPr>
            <w:r>
              <w:rPr>
                <w:rFonts w:hint="eastAsia" w:ascii="宋体" w:hAnsi="宋体" w:cs="宋体"/>
                <w:sz w:val="24"/>
              </w:rPr>
              <w:t>&gt;=20篇</w:t>
            </w:r>
          </w:p>
        </w:tc>
        <w:tc>
          <w:tcPr>
            <w:tcW w:w="1799" w:type="dxa"/>
            <w:vAlign w:val="center"/>
          </w:tcPr>
          <w:p>
            <w:pPr>
              <w:spacing w:line="360" w:lineRule="auto"/>
              <w:jc w:val="center"/>
              <w:rPr>
                <w:rFonts w:ascii="宋体" w:hAnsi="宋体" w:cs="宋体"/>
                <w:kern w:val="0"/>
                <w:sz w:val="24"/>
              </w:rPr>
            </w:pPr>
            <w:r>
              <w:rPr>
                <w:rFonts w:hint="eastAsia" w:ascii="宋体" w:hAnsi="宋体" w:cs="宋体"/>
                <w:sz w:val="24"/>
              </w:rPr>
              <w:t>20篇</w:t>
            </w:r>
          </w:p>
        </w:tc>
        <w:tc>
          <w:tcPr>
            <w:tcW w:w="1866" w:type="dxa"/>
            <w:vAlign w:val="center"/>
          </w:tcPr>
          <w:p>
            <w:pPr>
              <w:spacing w:line="360" w:lineRule="auto"/>
              <w:jc w:val="center"/>
              <w:rPr>
                <w:rFonts w:ascii="宋体" w:hAnsi="宋体" w:cs="宋体"/>
                <w:kern w:val="0"/>
                <w:sz w:val="24"/>
              </w:rPr>
            </w:pPr>
            <w:r>
              <w:rPr>
                <w:rFonts w:hint="eastAsia" w:ascii="宋体" w:hAnsi="宋体" w:cs="宋体"/>
                <w:sz w:val="24"/>
              </w:rPr>
              <w:t>论文出版证明</w:t>
            </w:r>
          </w:p>
        </w:tc>
        <w:tc>
          <w:tcPr>
            <w:tcW w:w="1787" w:type="dxa"/>
            <w:vAlign w:val="center"/>
          </w:tcPr>
          <w:p>
            <w:pPr>
              <w:spacing w:line="360" w:lineRule="auto"/>
              <w:jc w:val="center"/>
              <w:rPr>
                <w:rFonts w:ascii="宋体" w:hAnsi="宋体" w:cs="宋体"/>
                <w:kern w:val="0"/>
                <w:sz w:val="24"/>
              </w:rPr>
            </w:pPr>
            <w:r>
              <w:rPr>
                <w:rFonts w:hint="eastAsia" w:ascii="宋体" w:hAnsi="宋体" w:cs="宋体"/>
                <w:sz w:val="24"/>
              </w:rPr>
              <w:t>0.00%</w:t>
            </w:r>
          </w:p>
        </w:tc>
        <w:tc>
          <w:tcPr>
            <w:tcW w:w="1071" w:type="dxa"/>
          </w:tcPr>
          <w:p>
            <w:pPr>
              <w:spacing w:line="360" w:lineRule="auto"/>
              <w:rPr>
                <w:rFonts w:ascii="宋体" w:hAnsi="宋体" w:cs="宋体"/>
                <w:kern w:val="0"/>
                <w:sz w:val="22"/>
              </w:rPr>
            </w:pPr>
            <w:r>
              <w:rPr>
                <w:rFonts w:hint="eastAsia" w:ascii="宋体" w:hAnsi="宋体" w:cs="宋体"/>
                <w:sz w:val="24"/>
              </w:rPr>
              <w:t/>
            </w:r>
          </w:p>
        </w:tc>
      </w:tr>
    </w:tbl>
    <w:p w14:paraId="7B5F5F05">
      <w:pPr>
        <w:spacing w:line="360" w:lineRule="auto"/>
        <w:ind w:left="600"/>
        <w:rPr>
          <w:rFonts w:ascii="黑体" w:hAnsi="黑体" w:eastAsia="黑体"/>
          <w:sz w:val="30"/>
        </w:rPr>
      </w:pPr>
    </w:p>
    <w:sectPr>
      <w:headerReference r:id="rId7" w:type="default"/>
      <w:footerReference r:id="rId8" w:type="default"/>
      <w:pgSz w:w="16840" w:h="11907" w:orient="landscape"/>
      <w:pgMar w:top="1559" w:right="1247" w:bottom="1400" w:left="1089" w:header="851" w:footer="992" w:gutter="0"/>
      <w:paperSrc w:first="15" w:other="15"/>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23819">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1</w:t>
    </w:r>
    <w:r>
      <w:fldChar w:fldCharType="end"/>
    </w:r>
  </w:p>
  <w:p w14:paraId="0C328767">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7DEFE">
    <w:pPr>
      <w:pStyle w:val="3"/>
      <w:framePr w:wrap="around" w:vAnchor="text" w:hAnchor="margin" w:xAlign="center" w:y="1"/>
      <w:rPr>
        <w:rStyle w:val="8"/>
      </w:rPr>
    </w:pPr>
    <w:r>
      <w:fldChar w:fldCharType="begin"/>
    </w:r>
    <w:r>
      <w:rPr>
        <w:rStyle w:val="8"/>
      </w:rPr>
      <w:instrText xml:space="preserve">PAGE  </w:instrText>
    </w:r>
    <w:r>
      <w:fldChar w:fldCharType="end"/>
    </w:r>
  </w:p>
  <w:p w14:paraId="094E44E9">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66061">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2</w:t>
    </w:r>
    <w:r>
      <w:fldChar w:fldCharType="end"/>
    </w:r>
  </w:p>
  <w:p w14:paraId="52662FCA">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375BC">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57BC6">
    <w:pPr>
      <w:pStyle w:val="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2CE92">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7BB9F1"/>
    <w:multiLevelType w:val="singleLevel"/>
    <w:tmpl w:val="5D7BB9F1"/>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I2ZWIxNzBhOWM3YmNkMjVjMWZjMWQ2NzA4MDFlZmYifQ=="/>
  </w:docVars>
  <w:rsids>
    <w:rsidRoot w:val="00063C33"/>
    <w:rsid w:val="00000AE5"/>
    <w:rsid w:val="0000149B"/>
    <w:rsid w:val="00003466"/>
    <w:rsid w:val="00005172"/>
    <w:rsid w:val="000100EA"/>
    <w:rsid w:val="000174EF"/>
    <w:rsid w:val="00017B0A"/>
    <w:rsid w:val="00023671"/>
    <w:rsid w:val="00026029"/>
    <w:rsid w:val="000264BF"/>
    <w:rsid w:val="00037A63"/>
    <w:rsid w:val="00040CA6"/>
    <w:rsid w:val="00043B48"/>
    <w:rsid w:val="00052BE5"/>
    <w:rsid w:val="00060137"/>
    <w:rsid w:val="00063750"/>
    <w:rsid w:val="00063C33"/>
    <w:rsid w:val="00063D5B"/>
    <w:rsid w:val="00065156"/>
    <w:rsid w:val="00065B29"/>
    <w:rsid w:val="00067138"/>
    <w:rsid w:val="0006750F"/>
    <w:rsid w:val="000744C4"/>
    <w:rsid w:val="00075453"/>
    <w:rsid w:val="00075D05"/>
    <w:rsid w:val="000822BA"/>
    <w:rsid w:val="000824B9"/>
    <w:rsid w:val="00083E7F"/>
    <w:rsid w:val="000903A9"/>
    <w:rsid w:val="00090A12"/>
    <w:rsid w:val="00091DCD"/>
    <w:rsid w:val="000920AE"/>
    <w:rsid w:val="00096524"/>
    <w:rsid w:val="000A413D"/>
    <w:rsid w:val="000A5944"/>
    <w:rsid w:val="000B00C1"/>
    <w:rsid w:val="000B1FE0"/>
    <w:rsid w:val="000B2275"/>
    <w:rsid w:val="000B2CE5"/>
    <w:rsid w:val="000B5A1C"/>
    <w:rsid w:val="000B7645"/>
    <w:rsid w:val="000C44B7"/>
    <w:rsid w:val="000E5B04"/>
    <w:rsid w:val="000E69D0"/>
    <w:rsid w:val="000E7FBE"/>
    <w:rsid w:val="000F10A1"/>
    <w:rsid w:val="000F2CE9"/>
    <w:rsid w:val="000F5BD7"/>
    <w:rsid w:val="000F6964"/>
    <w:rsid w:val="00100A3B"/>
    <w:rsid w:val="001014B4"/>
    <w:rsid w:val="00104DFE"/>
    <w:rsid w:val="00106E72"/>
    <w:rsid w:val="00113289"/>
    <w:rsid w:val="00113D04"/>
    <w:rsid w:val="00113E8E"/>
    <w:rsid w:val="0011541B"/>
    <w:rsid w:val="0012134D"/>
    <w:rsid w:val="001220BE"/>
    <w:rsid w:val="00125CF2"/>
    <w:rsid w:val="00126E12"/>
    <w:rsid w:val="00130587"/>
    <w:rsid w:val="00130A6B"/>
    <w:rsid w:val="00131B00"/>
    <w:rsid w:val="00132D88"/>
    <w:rsid w:val="00133A9B"/>
    <w:rsid w:val="0013429F"/>
    <w:rsid w:val="001410F0"/>
    <w:rsid w:val="001420CF"/>
    <w:rsid w:val="00143A75"/>
    <w:rsid w:val="00143BA3"/>
    <w:rsid w:val="0014417A"/>
    <w:rsid w:val="001451E1"/>
    <w:rsid w:val="00147FEA"/>
    <w:rsid w:val="0015165E"/>
    <w:rsid w:val="00155CA1"/>
    <w:rsid w:val="001612E1"/>
    <w:rsid w:val="00164523"/>
    <w:rsid w:val="00165B5D"/>
    <w:rsid w:val="001662B4"/>
    <w:rsid w:val="0017063E"/>
    <w:rsid w:val="00177F82"/>
    <w:rsid w:val="001808D8"/>
    <w:rsid w:val="0018270E"/>
    <w:rsid w:val="00182B89"/>
    <w:rsid w:val="00182FC9"/>
    <w:rsid w:val="00190510"/>
    <w:rsid w:val="001A0AFE"/>
    <w:rsid w:val="001A1132"/>
    <w:rsid w:val="001B04B5"/>
    <w:rsid w:val="001B5269"/>
    <w:rsid w:val="001B7A52"/>
    <w:rsid w:val="001C0B83"/>
    <w:rsid w:val="001C31AD"/>
    <w:rsid w:val="001C4669"/>
    <w:rsid w:val="001C64FE"/>
    <w:rsid w:val="001C7FFB"/>
    <w:rsid w:val="001D03A1"/>
    <w:rsid w:val="001D2206"/>
    <w:rsid w:val="001D31D8"/>
    <w:rsid w:val="001D41B6"/>
    <w:rsid w:val="001D785B"/>
    <w:rsid w:val="001D7F4F"/>
    <w:rsid w:val="001E09A5"/>
    <w:rsid w:val="001E11AE"/>
    <w:rsid w:val="001E387E"/>
    <w:rsid w:val="001E4826"/>
    <w:rsid w:val="001E55E3"/>
    <w:rsid w:val="001F0EC7"/>
    <w:rsid w:val="001F1C88"/>
    <w:rsid w:val="001F2939"/>
    <w:rsid w:val="001F3B30"/>
    <w:rsid w:val="001F3BCB"/>
    <w:rsid w:val="00200D3F"/>
    <w:rsid w:val="0020308A"/>
    <w:rsid w:val="00204221"/>
    <w:rsid w:val="00206133"/>
    <w:rsid w:val="00213BC8"/>
    <w:rsid w:val="00216350"/>
    <w:rsid w:val="002166D3"/>
    <w:rsid w:val="00216F1E"/>
    <w:rsid w:val="00217E52"/>
    <w:rsid w:val="00222156"/>
    <w:rsid w:val="00223CA3"/>
    <w:rsid w:val="00227A2B"/>
    <w:rsid w:val="0023035D"/>
    <w:rsid w:val="002340B0"/>
    <w:rsid w:val="00234E4B"/>
    <w:rsid w:val="0023634E"/>
    <w:rsid w:val="002408C3"/>
    <w:rsid w:val="0024113F"/>
    <w:rsid w:val="00244426"/>
    <w:rsid w:val="0024746E"/>
    <w:rsid w:val="0025051E"/>
    <w:rsid w:val="00252592"/>
    <w:rsid w:val="00253D90"/>
    <w:rsid w:val="0025423D"/>
    <w:rsid w:val="00254F9A"/>
    <w:rsid w:val="00257BC2"/>
    <w:rsid w:val="00261488"/>
    <w:rsid w:val="00264AA2"/>
    <w:rsid w:val="00265B16"/>
    <w:rsid w:val="00265DA5"/>
    <w:rsid w:val="002673D0"/>
    <w:rsid w:val="002716BD"/>
    <w:rsid w:val="00273D49"/>
    <w:rsid w:val="00283319"/>
    <w:rsid w:val="00285317"/>
    <w:rsid w:val="0028539D"/>
    <w:rsid w:val="00286629"/>
    <w:rsid w:val="00286702"/>
    <w:rsid w:val="00286D47"/>
    <w:rsid w:val="002900B4"/>
    <w:rsid w:val="00291982"/>
    <w:rsid w:val="00294622"/>
    <w:rsid w:val="002A1D40"/>
    <w:rsid w:val="002A520E"/>
    <w:rsid w:val="002A71E9"/>
    <w:rsid w:val="002A740D"/>
    <w:rsid w:val="002B3130"/>
    <w:rsid w:val="002B46D0"/>
    <w:rsid w:val="002B4938"/>
    <w:rsid w:val="002B4C42"/>
    <w:rsid w:val="002B5C95"/>
    <w:rsid w:val="002B7826"/>
    <w:rsid w:val="002B7DA5"/>
    <w:rsid w:val="002C14BC"/>
    <w:rsid w:val="002C40C2"/>
    <w:rsid w:val="002C50BE"/>
    <w:rsid w:val="002C58CE"/>
    <w:rsid w:val="002C6932"/>
    <w:rsid w:val="002D37C3"/>
    <w:rsid w:val="002D39F6"/>
    <w:rsid w:val="002E02D4"/>
    <w:rsid w:val="002E3E46"/>
    <w:rsid w:val="002E6262"/>
    <w:rsid w:val="002F2F89"/>
    <w:rsid w:val="002F3573"/>
    <w:rsid w:val="002F79DA"/>
    <w:rsid w:val="003023BE"/>
    <w:rsid w:val="003047D9"/>
    <w:rsid w:val="00304E50"/>
    <w:rsid w:val="0031251A"/>
    <w:rsid w:val="00313B31"/>
    <w:rsid w:val="00313C95"/>
    <w:rsid w:val="00314B04"/>
    <w:rsid w:val="003205DD"/>
    <w:rsid w:val="003212A4"/>
    <w:rsid w:val="00321645"/>
    <w:rsid w:val="003224A9"/>
    <w:rsid w:val="00323407"/>
    <w:rsid w:val="00324653"/>
    <w:rsid w:val="00325446"/>
    <w:rsid w:val="003255FE"/>
    <w:rsid w:val="00327EE2"/>
    <w:rsid w:val="00330CB3"/>
    <w:rsid w:val="00332C74"/>
    <w:rsid w:val="00335FCC"/>
    <w:rsid w:val="00336C7D"/>
    <w:rsid w:val="00342E62"/>
    <w:rsid w:val="00343C7E"/>
    <w:rsid w:val="0034643F"/>
    <w:rsid w:val="00346D0D"/>
    <w:rsid w:val="00350DCA"/>
    <w:rsid w:val="00350EF3"/>
    <w:rsid w:val="00351E9C"/>
    <w:rsid w:val="00353E46"/>
    <w:rsid w:val="00354DA3"/>
    <w:rsid w:val="0035535B"/>
    <w:rsid w:val="003557CD"/>
    <w:rsid w:val="00355802"/>
    <w:rsid w:val="00362F2E"/>
    <w:rsid w:val="00365C54"/>
    <w:rsid w:val="003700B6"/>
    <w:rsid w:val="00370935"/>
    <w:rsid w:val="00371DB2"/>
    <w:rsid w:val="003729B0"/>
    <w:rsid w:val="00373041"/>
    <w:rsid w:val="003753A8"/>
    <w:rsid w:val="003831C1"/>
    <w:rsid w:val="00393CB1"/>
    <w:rsid w:val="003A5262"/>
    <w:rsid w:val="003B2F39"/>
    <w:rsid w:val="003B3410"/>
    <w:rsid w:val="003B36E9"/>
    <w:rsid w:val="003B6092"/>
    <w:rsid w:val="003C042E"/>
    <w:rsid w:val="003C06AC"/>
    <w:rsid w:val="003C1186"/>
    <w:rsid w:val="003C391B"/>
    <w:rsid w:val="003C4D46"/>
    <w:rsid w:val="003D01B1"/>
    <w:rsid w:val="003D0B70"/>
    <w:rsid w:val="003D72AD"/>
    <w:rsid w:val="003D7F91"/>
    <w:rsid w:val="003E2A48"/>
    <w:rsid w:val="003E2F63"/>
    <w:rsid w:val="003E65CC"/>
    <w:rsid w:val="003E6D22"/>
    <w:rsid w:val="003F2293"/>
    <w:rsid w:val="00400243"/>
    <w:rsid w:val="00405CA6"/>
    <w:rsid w:val="00410C77"/>
    <w:rsid w:val="00411D37"/>
    <w:rsid w:val="00424485"/>
    <w:rsid w:val="004257E1"/>
    <w:rsid w:val="00425AA3"/>
    <w:rsid w:val="004305C8"/>
    <w:rsid w:val="0043312C"/>
    <w:rsid w:val="00436533"/>
    <w:rsid w:val="00436EC1"/>
    <w:rsid w:val="004403E7"/>
    <w:rsid w:val="004423E2"/>
    <w:rsid w:val="00445706"/>
    <w:rsid w:val="0045004A"/>
    <w:rsid w:val="004545F2"/>
    <w:rsid w:val="00454BDA"/>
    <w:rsid w:val="00457C9A"/>
    <w:rsid w:val="004611B1"/>
    <w:rsid w:val="0046258B"/>
    <w:rsid w:val="00466701"/>
    <w:rsid w:val="00471F88"/>
    <w:rsid w:val="00473304"/>
    <w:rsid w:val="00475B06"/>
    <w:rsid w:val="00476840"/>
    <w:rsid w:val="0048152F"/>
    <w:rsid w:val="0048585A"/>
    <w:rsid w:val="0048750F"/>
    <w:rsid w:val="0049066C"/>
    <w:rsid w:val="004912EF"/>
    <w:rsid w:val="004974D1"/>
    <w:rsid w:val="004A1580"/>
    <w:rsid w:val="004A19DD"/>
    <w:rsid w:val="004B0052"/>
    <w:rsid w:val="004B44B5"/>
    <w:rsid w:val="004C13D9"/>
    <w:rsid w:val="004C156B"/>
    <w:rsid w:val="004C1CE2"/>
    <w:rsid w:val="004C51FC"/>
    <w:rsid w:val="004C5BAD"/>
    <w:rsid w:val="004D5319"/>
    <w:rsid w:val="004D797B"/>
    <w:rsid w:val="004E0982"/>
    <w:rsid w:val="004E1DF7"/>
    <w:rsid w:val="004E2D60"/>
    <w:rsid w:val="004E2E62"/>
    <w:rsid w:val="004E3248"/>
    <w:rsid w:val="004E5392"/>
    <w:rsid w:val="004E73A7"/>
    <w:rsid w:val="004F030E"/>
    <w:rsid w:val="004F2DA8"/>
    <w:rsid w:val="004F4FE5"/>
    <w:rsid w:val="004F6112"/>
    <w:rsid w:val="004F6658"/>
    <w:rsid w:val="004F6BFF"/>
    <w:rsid w:val="004F71AE"/>
    <w:rsid w:val="00501E97"/>
    <w:rsid w:val="005038C9"/>
    <w:rsid w:val="00506E8C"/>
    <w:rsid w:val="00506FCF"/>
    <w:rsid w:val="0051294C"/>
    <w:rsid w:val="00512A8D"/>
    <w:rsid w:val="00521013"/>
    <w:rsid w:val="00526943"/>
    <w:rsid w:val="005314A7"/>
    <w:rsid w:val="00532870"/>
    <w:rsid w:val="005428EE"/>
    <w:rsid w:val="00543724"/>
    <w:rsid w:val="0054645B"/>
    <w:rsid w:val="00552B33"/>
    <w:rsid w:val="00553660"/>
    <w:rsid w:val="00553EB2"/>
    <w:rsid w:val="00556E4F"/>
    <w:rsid w:val="00560776"/>
    <w:rsid w:val="00560AFC"/>
    <w:rsid w:val="00560EAF"/>
    <w:rsid w:val="005619A3"/>
    <w:rsid w:val="00562503"/>
    <w:rsid w:val="0056664B"/>
    <w:rsid w:val="00567693"/>
    <w:rsid w:val="00570911"/>
    <w:rsid w:val="005723D7"/>
    <w:rsid w:val="005755EB"/>
    <w:rsid w:val="005757F7"/>
    <w:rsid w:val="0058037E"/>
    <w:rsid w:val="00581411"/>
    <w:rsid w:val="005817F6"/>
    <w:rsid w:val="00593238"/>
    <w:rsid w:val="00597885"/>
    <w:rsid w:val="005A0674"/>
    <w:rsid w:val="005A3838"/>
    <w:rsid w:val="005A3AA9"/>
    <w:rsid w:val="005A3AE6"/>
    <w:rsid w:val="005A3EAE"/>
    <w:rsid w:val="005A4A49"/>
    <w:rsid w:val="005A71F3"/>
    <w:rsid w:val="005A7726"/>
    <w:rsid w:val="005A77D3"/>
    <w:rsid w:val="005B0AE0"/>
    <w:rsid w:val="005B2146"/>
    <w:rsid w:val="005B2738"/>
    <w:rsid w:val="005B2C2E"/>
    <w:rsid w:val="005B3560"/>
    <w:rsid w:val="005B48B6"/>
    <w:rsid w:val="005B4B41"/>
    <w:rsid w:val="005B529F"/>
    <w:rsid w:val="005B612C"/>
    <w:rsid w:val="005B6B32"/>
    <w:rsid w:val="005B77DD"/>
    <w:rsid w:val="005C09F8"/>
    <w:rsid w:val="005C1A18"/>
    <w:rsid w:val="005C1BD8"/>
    <w:rsid w:val="005C2E63"/>
    <w:rsid w:val="005C5E8E"/>
    <w:rsid w:val="005C65E4"/>
    <w:rsid w:val="005D11F6"/>
    <w:rsid w:val="005D1D0B"/>
    <w:rsid w:val="005D72E3"/>
    <w:rsid w:val="005E0E7F"/>
    <w:rsid w:val="005E5A79"/>
    <w:rsid w:val="005F1482"/>
    <w:rsid w:val="005F1E3B"/>
    <w:rsid w:val="0060449D"/>
    <w:rsid w:val="00610F23"/>
    <w:rsid w:val="00613019"/>
    <w:rsid w:val="00621622"/>
    <w:rsid w:val="006226C5"/>
    <w:rsid w:val="00622FB6"/>
    <w:rsid w:val="0062351F"/>
    <w:rsid w:val="00625CE4"/>
    <w:rsid w:val="00631623"/>
    <w:rsid w:val="006316FF"/>
    <w:rsid w:val="00633F34"/>
    <w:rsid w:val="006346F2"/>
    <w:rsid w:val="00642FA5"/>
    <w:rsid w:val="00643E54"/>
    <w:rsid w:val="006520DA"/>
    <w:rsid w:val="00652414"/>
    <w:rsid w:val="0066087C"/>
    <w:rsid w:val="00665D96"/>
    <w:rsid w:val="00672C67"/>
    <w:rsid w:val="006733B9"/>
    <w:rsid w:val="006777F4"/>
    <w:rsid w:val="00680C37"/>
    <w:rsid w:val="0068235A"/>
    <w:rsid w:val="00691F14"/>
    <w:rsid w:val="00693D54"/>
    <w:rsid w:val="00695B4B"/>
    <w:rsid w:val="006A242C"/>
    <w:rsid w:val="006A3E01"/>
    <w:rsid w:val="006A4842"/>
    <w:rsid w:val="006A5F11"/>
    <w:rsid w:val="006B46FE"/>
    <w:rsid w:val="006B5B10"/>
    <w:rsid w:val="006C0BED"/>
    <w:rsid w:val="006C1512"/>
    <w:rsid w:val="006C5E14"/>
    <w:rsid w:val="006E199D"/>
    <w:rsid w:val="006E2154"/>
    <w:rsid w:val="006E526F"/>
    <w:rsid w:val="006F2F60"/>
    <w:rsid w:val="006F4261"/>
    <w:rsid w:val="006F5BB5"/>
    <w:rsid w:val="006F63F7"/>
    <w:rsid w:val="006F7720"/>
    <w:rsid w:val="00700D51"/>
    <w:rsid w:val="00701E4E"/>
    <w:rsid w:val="00703AAD"/>
    <w:rsid w:val="00704126"/>
    <w:rsid w:val="00704DC6"/>
    <w:rsid w:val="00706525"/>
    <w:rsid w:val="00707621"/>
    <w:rsid w:val="007171E1"/>
    <w:rsid w:val="00717422"/>
    <w:rsid w:val="00722137"/>
    <w:rsid w:val="00723710"/>
    <w:rsid w:val="00733427"/>
    <w:rsid w:val="00735573"/>
    <w:rsid w:val="00737F68"/>
    <w:rsid w:val="007424E1"/>
    <w:rsid w:val="00742D87"/>
    <w:rsid w:val="00751DC9"/>
    <w:rsid w:val="0075565C"/>
    <w:rsid w:val="007605DC"/>
    <w:rsid w:val="00761F62"/>
    <w:rsid w:val="00762C18"/>
    <w:rsid w:val="00766FB7"/>
    <w:rsid w:val="00772348"/>
    <w:rsid w:val="00772510"/>
    <w:rsid w:val="00773A1D"/>
    <w:rsid w:val="00773F42"/>
    <w:rsid w:val="00774264"/>
    <w:rsid w:val="00775445"/>
    <w:rsid w:val="00780EE2"/>
    <w:rsid w:val="007840FE"/>
    <w:rsid w:val="00784F8B"/>
    <w:rsid w:val="007871EE"/>
    <w:rsid w:val="00793E08"/>
    <w:rsid w:val="00794A76"/>
    <w:rsid w:val="00795D56"/>
    <w:rsid w:val="007962F0"/>
    <w:rsid w:val="00797D92"/>
    <w:rsid w:val="007A0919"/>
    <w:rsid w:val="007A097F"/>
    <w:rsid w:val="007A4200"/>
    <w:rsid w:val="007B3DD4"/>
    <w:rsid w:val="007B5103"/>
    <w:rsid w:val="007B61B8"/>
    <w:rsid w:val="007B6A00"/>
    <w:rsid w:val="007C0D3D"/>
    <w:rsid w:val="007C31AE"/>
    <w:rsid w:val="007C36CD"/>
    <w:rsid w:val="007C3C87"/>
    <w:rsid w:val="007C3D16"/>
    <w:rsid w:val="007C47E4"/>
    <w:rsid w:val="007C4FF4"/>
    <w:rsid w:val="007D2436"/>
    <w:rsid w:val="007D2B3D"/>
    <w:rsid w:val="007D444F"/>
    <w:rsid w:val="007D4E58"/>
    <w:rsid w:val="007D56C8"/>
    <w:rsid w:val="007D7F00"/>
    <w:rsid w:val="007E1CCC"/>
    <w:rsid w:val="007E459A"/>
    <w:rsid w:val="007E4929"/>
    <w:rsid w:val="007E720E"/>
    <w:rsid w:val="007E72F0"/>
    <w:rsid w:val="007F009F"/>
    <w:rsid w:val="007F0BF3"/>
    <w:rsid w:val="007F0D47"/>
    <w:rsid w:val="007F2B03"/>
    <w:rsid w:val="007F33BC"/>
    <w:rsid w:val="007F6C9D"/>
    <w:rsid w:val="00800BE6"/>
    <w:rsid w:val="0080256D"/>
    <w:rsid w:val="00802E22"/>
    <w:rsid w:val="00812702"/>
    <w:rsid w:val="0081659F"/>
    <w:rsid w:val="008165F1"/>
    <w:rsid w:val="008235B6"/>
    <w:rsid w:val="008329A5"/>
    <w:rsid w:val="00832C53"/>
    <w:rsid w:val="008353A0"/>
    <w:rsid w:val="00846B19"/>
    <w:rsid w:val="008509A5"/>
    <w:rsid w:val="008521F8"/>
    <w:rsid w:val="00852E79"/>
    <w:rsid w:val="008550E4"/>
    <w:rsid w:val="00855CA7"/>
    <w:rsid w:val="00855F3C"/>
    <w:rsid w:val="00857998"/>
    <w:rsid w:val="00862373"/>
    <w:rsid w:val="008702C7"/>
    <w:rsid w:val="008814B7"/>
    <w:rsid w:val="00882EDF"/>
    <w:rsid w:val="008855D8"/>
    <w:rsid w:val="00885B43"/>
    <w:rsid w:val="00885EDD"/>
    <w:rsid w:val="00891909"/>
    <w:rsid w:val="0089196E"/>
    <w:rsid w:val="00894546"/>
    <w:rsid w:val="008956AE"/>
    <w:rsid w:val="008962B9"/>
    <w:rsid w:val="008B27AB"/>
    <w:rsid w:val="008B474A"/>
    <w:rsid w:val="008B4752"/>
    <w:rsid w:val="008C0F7F"/>
    <w:rsid w:val="008C19A0"/>
    <w:rsid w:val="008C5F52"/>
    <w:rsid w:val="008D1294"/>
    <w:rsid w:val="008D4748"/>
    <w:rsid w:val="008D493B"/>
    <w:rsid w:val="008E15CC"/>
    <w:rsid w:val="008E5F67"/>
    <w:rsid w:val="008E7EF2"/>
    <w:rsid w:val="008F0D75"/>
    <w:rsid w:val="00912649"/>
    <w:rsid w:val="009141CE"/>
    <w:rsid w:val="00914978"/>
    <w:rsid w:val="0092032F"/>
    <w:rsid w:val="00921CBB"/>
    <w:rsid w:val="009220F6"/>
    <w:rsid w:val="00923540"/>
    <w:rsid w:val="009238C5"/>
    <w:rsid w:val="00926CE3"/>
    <w:rsid w:val="00927493"/>
    <w:rsid w:val="00930153"/>
    <w:rsid w:val="00936842"/>
    <w:rsid w:val="00944770"/>
    <w:rsid w:val="00950C79"/>
    <w:rsid w:val="00952E84"/>
    <w:rsid w:val="00952F21"/>
    <w:rsid w:val="00954DE5"/>
    <w:rsid w:val="00956D46"/>
    <w:rsid w:val="00957FE6"/>
    <w:rsid w:val="00961F56"/>
    <w:rsid w:val="00973D9E"/>
    <w:rsid w:val="00973DF8"/>
    <w:rsid w:val="00975B93"/>
    <w:rsid w:val="009803F9"/>
    <w:rsid w:val="00981623"/>
    <w:rsid w:val="0098375F"/>
    <w:rsid w:val="0098511D"/>
    <w:rsid w:val="00985485"/>
    <w:rsid w:val="00986075"/>
    <w:rsid w:val="00991298"/>
    <w:rsid w:val="00991A54"/>
    <w:rsid w:val="009932BD"/>
    <w:rsid w:val="009934FA"/>
    <w:rsid w:val="00994166"/>
    <w:rsid w:val="009A14E2"/>
    <w:rsid w:val="009B00C3"/>
    <w:rsid w:val="009B0CBC"/>
    <w:rsid w:val="009C0139"/>
    <w:rsid w:val="009C0E57"/>
    <w:rsid w:val="009C2F7D"/>
    <w:rsid w:val="009C55FF"/>
    <w:rsid w:val="009D6A3C"/>
    <w:rsid w:val="009D6EB2"/>
    <w:rsid w:val="009E3332"/>
    <w:rsid w:val="009E41C3"/>
    <w:rsid w:val="009E761C"/>
    <w:rsid w:val="009F0156"/>
    <w:rsid w:val="009F0F45"/>
    <w:rsid w:val="009F1E08"/>
    <w:rsid w:val="009F33A3"/>
    <w:rsid w:val="009F5379"/>
    <w:rsid w:val="009F698B"/>
    <w:rsid w:val="00A0033D"/>
    <w:rsid w:val="00A03EC8"/>
    <w:rsid w:val="00A0604C"/>
    <w:rsid w:val="00A11B0D"/>
    <w:rsid w:val="00A120BD"/>
    <w:rsid w:val="00A176AA"/>
    <w:rsid w:val="00A205D5"/>
    <w:rsid w:val="00A239B4"/>
    <w:rsid w:val="00A23D5F"/>
    <w:rsid w:val="00A25AFF"/>
    <w:rsid w:val="00A32DC9"/>
    <w:rsid w:val="00A33349"/>
    <w:rsid w:val="00A33FE6"/>
    <w:rsid w:val="00A44D43"/>
    <w:rsid w:val="00A452D2"/>
    <w:rsid w:val="00A470EC"/>
    <w:rsid w:val="00A50C4A"/>
    <w:rsid w:val="00A50F78"/>
    <w:rsid w:val="00A51224"/>
    <w:rsid w:val="00A5755C"/>
    <w:rsid w:val="00A63E56"/>
    <w:rsid w:val="00A66FD8"/>
    <w:rsid w:val="00A670EA"/>
    <w:rsid w:val="00A7100E"/>
    <w:rsid w:val="00A71A98"/>
    <w:rsid w:val="00A7291A"/>
    <w:rsid w:val="00A7417E"/>
    <w:rsid w:val="00A819B1"/>
    <w:rsid w:val="00A9009D"/>
    <w:rsid w:val="00A9242A"/>
    <w:rsid w:val="00A92BC1"/>
    <w:rsid w:val="00AA28F0"/>
    <w:rsid w:val="00AA2C54"/>
    <w:rsid w:val="00AA3EF4"/>
    <w:rsid w:val="00AA65DC"/>
    <w:rsid w:val="00AA7CBC"/>
    <w:rsid w:val="00AB36D0"/>
    <w:rsid w:val="00AB4CA0"/>
    <w:rsid w:val="00AB59CA"/>
    <w:rsid w:val="00AB60CB"/>
    <w:rsid w:val="00AC0C78"/>
    <w:rsid w:val="00AC175C"/>
    <w:rsid w:val="00AC4BC5"/>
    <w:rsid w:val="00AC6896"/>
    <w:rsid w:val="00AD4ACE"/>
    <w:rsid w:val="00AD4BAD"/>
    <w:rsid w:val="00AD5676"/>
    <w:rsid w:val="00AD5886"/>
    <w:rsid w:val="00AD6E3F"/>
    <w:rsid w:val="00AE08D5"/>
    <w:rsid w:val="00AE3466"/>
    <w:rsid w:val="00AF1471"/>
    <w:rsid w:val="00AF36BF"/>
    <w:rsid w:val="00AF53EC"/>
    <w:rsid w:val="00AF647B"/>
    <w:rsid w:val="00B010E5"/>
    <w:rsid w:val="00B048AA"/>
    <w:rsid w:val="00B13870"/>
    <w:rsid w:val="00B1500D"/>
    <w:rsid w:val="00B1629F"/>
    <w:rsid w:val="00B1672F"/>
    <w:rsid w:val="00B30486"/>
    <w:rsid w:val="00B3494F"/>
    <w:rsid w:val="00B427DC"/>
    <w:rsid w:val="00B44119"/>
    <w:rsid w:val="00B4671F"/>
    <w:rsid w:val="00B50F62"/>
    <w:rsid w:val="00B55AA4"/>
    <w:rsid w:val="00B60779"/>
    <w:rsid w:val="00B61496"/>
    <w:rsid w:val="00B63E05"/>
    <w:rsid w:val="00B66717"/>
    <w:rsid w:val="00B67AA7"/>
    <w:rsid w:val="00B72669"/>
    <w:rsid w:val="00B76DF4"/>
    <w:rsid w:val="00B76EEF"/>
    <w:rsid w:val="00B776C1"/>
    <w:rsid w:val="00B867D1"/>
    <w:rsid w:val="00B92977"/>
    <w:rsid w:val="00B92987"/>
    <w:rsid w:val="00B9437F"/>
    <w:rsid w:val="00B96073"/>
    <w:rsid w:val="00B962B5"/>
    <w:rsid w:val="00B968F0"/>
    <w:rsid w:val="00B96DB3"/>
    <w:rsid w:val="00BA2D4B"/>
    <w:rsid w:val="00BA3FBD"/>
    <w:rsid w:val="00BA7F8D"/>
    <w:rsid w:val="00BB48CE"/>
    <w:rsid w:val="00BB4CED"/>
    <w:rsid w:val="00BB57BA"/>
    <w:rsid w:val="00BB67B3"/>
    <w:rsid w:val="00BC3CDC"/>
    <w:rsid w:val="00BC4382"/>
    <w:rsid w:val="00BC5D5E"/>
    <w:rsid w:val="00BC6D9B"/>
    <w:rsid w:val="00BC7D69"/>
    <w:rsid w:val="00BC7FC3"/>
    <w:rsid w:val="00BD5B4F"/>
    <w:rsid w:val="00BD7B20"/>
    <w:rsid w:val="00BE0E9A"/>
    <w:rsid w:val="00BE4D46"/>
    <w:rsid w:val="00BE4D54"/>
    <w:rsid w:val="00BE72CC"/>
    <w:rsid w:val="00BF0580"/>
    <w:rsid w:val="00BF185A"/>
    <w:rsid w:val="00BF2DD0"/>
    <w:rsid w:val="00C01970"/>
    <w:rsid w:val="00C032A0"/>
    <w:rsid w:val="00C05C98"/>
    <w:rsid w:val="00C06939"/>
    <w:rsid w:val="00C0782F"/>
    <w:rsid w:val="00C20DBD"/>
    <w:rsid w:val="00C246E2"/>
    <w:rsid w:val="00C24BCF"/>
    <w:rsid w:val="00C27505"/>
    <w:rsid w:val="00C30F82"/>
    <w:rsid w:val="00C35EEA"/>
    <w:rsid w:val="00C40F18"/>
    <w:rsid w:val="00C41F0D"/>
    <w:rsid w:val="00C42F38"/>
    <w:rsid w:val="00C5033A"/>
    <w:rsid w:val="00C50B8F"/>
    <w:rsid w:val="00C525DF"/>
    <w:rsid w:val="00C52DB2"/>
    <w:rsid w:val="00C546DD"/>
    <w:rsid w:val="00C54918"/>
    <w:rsid w:val="00C553C3"/>
    <w:rsid w:val="00C64A12"/>
    <w:rsid w:val="00C650DE"/>
    <w:rsid w:val="00C66303"/>
    <w:rsid w:val="00C66BB9"/>
    <w:rsid w:val="00C7017C"/>
    <w:rsid w:val="00C73986"/>
    <w:rsid w:val="00C7746B"/>
    <w:rsid w:val="00C77C77"/>
    <w:rsid w:val="00C8105F"/>
    <w:rsid w:val="00C81379"/>
    <w:rsid w:val="00C816B2"/>
    <w:rsid w:val="00C81970"/>
    <w:rsid w:val="00C87101"/>
    <w:rsid w:val="00C94D24"/>
    <w:rsid w:val="00C967CD"/>
    <w:rsid w:val="00CA0B2C"/>
    <w:rsid w:val="00CA1024"/>
    <w:rsid w:val="00CA290E"/>
    <w:rsid w:val="00CA3A89"/>
    <w:rsid w:val="00CA4EA9"/>
    <w:rsid w:val="00CB2ED2"/>
    <w:rsid w:val="00CB5DCB"/>
    <w:rsid w:val="00CC0015"/>
    <w:rsid w:val="00CC263F"/>
    <w:rsid w:val="00CD2C52"/>
    <w:rsid w:val="00CD602C"/>
    <w:rsid w:val="00CD62C1"/>
    <w:rsid w:val="00CD7481"/>
    <w:rsid w:val="00CE2A66"/>
    <w:rsid w:val="00CE375B"/>
    <w:rsid w:val="00CE7232"/>
    <w:rsid w:val="00CE79D7"/>
    <w:rsid w:val="00CF1C01"/>
    <w:rsid w:val="00CF390A"/>
    <w:rsid w:val="00D023CF"/>
    <w:rsid w:val="00D043F3"/>
    <w:rsid w:val="00D11F90"/>
    <w:rsid w:val="00D126D3"/>
    <w:rsid w:val="00D12DF6"/>
    <w:rsid w:val="00D21546"/>
    <w:rsid w:val="00D22A0E"/>
    <w:rsid w:val="00D241C5"/>
    <w:rsid w:val="00D24F9A"/>
    <w:rsid w:val="00D25230"/>
    <w:rsid w:val="00D345C2"/>
    <w:rsid w:val="00D35886"/>
    <w:rsid w:val="00D37A72"/>
    <w:rsid w:val="00D41BFE"/>
    <w:rsid w:val="00D42B90"/>
    <w:rsid w:val="00D520F5"/>
    <w:rsid w:val="00D5213E"/>
    <w:rsid w:val="00D52723"/>
    <w:rsid w:val="00D530E5"/>
    <w:rsid w:val="00D54714"/>
    <w:rsid w:val="00D604F2"/>
    <w:rsid w:val="00D658CF"/>
    <w:rsid w:val="00D74542"/>
    <w:rsid w:val="00D74D35"/>
    <w:rsid w:val="00D77B41"/>
    <w:rsid w:val="00D80278"/>
    <w:rsid w:val="00D81180"/>
    <w:rsid w:val="00D9349A"/>
    <w:rsid w:val="00DA0D5E"/>
    <w:rsid w:val="00DA16AA"/>
    <w:rsid w:val="00DA30BF"/>
    <w:rsid w:val="00DA3FE8"/>
    <w:rsid w:val="00DA50C9"/>
    <w:rsid w:val="00DB1CEE"/>
    <w:rsid w:val="00DB3E9E"/>
    <w:rsid w:val="00DB591E"/>
    <w:rsid w:val="00DC30C9"/>
    <w:rsid w:val="00DD0D6E"/>
    <w:rsid w:val="00DD18CE"/>
    <w:rsid w:val="00DD1A16"/>
    <w:rsid w:val="00DD42EC"/>
    <w:rsid w:val="00DE0681"/>
    <w:rsid w:val="00DE5FDB"/>
    <w:rsid w:val="00DF0128"/>
    <w:rsid w:val="00DF2564"/>
    <w:rsid w:val="00DF2DC2"/>
    <w:rsid w:val="00DF5F9F"/>
    <w:rsid w:val="00E012CA"/>
    <w:rsid w:val="00E04A97"/>
    <w:rsid w:val="00E05A01"/>
    <w:rsid w:val="00E20678"/>
    <w:rsid w:val="00E23D9D"/>
    <w:rsid w:val="00E30145"/>
    <w:rsid w:val="00E32CDA"/>
    <w:rsid w:val="00E42B8D"/>
    <w:rsid w:val="00E42DFA"/>
    <w:rsid w:val="00E45770"/>
    <w:rsid w:val="00E520D2"/>
    <w:rsid w:val="00E52F69"/>
    <w:rsid w:val="00E55C18"/>
    <w:rsid w:val="00E6288B"/>
    <w:rsid w:val="00E638E7"/>
    <w:rsid w:val="00E65313"/>
    <w:rsid w:val="00E702FB"/>
    <w:rsid w:val="00E71137"/>
    <w:rsid w:val="00E72EC0"/>
    <w:rsid w:val="00E750D4"/>
    <w:rsid w:val="00E767B8"/>
    <w:rsid w:val="00E808C9"/>
    <w:rsid w:val="00E8326A"/>
    <w:rsid w:val="00E91974"/>
    <w:rsid w:val="00E9307D"/>
    <w:rsid w:val="00E96C5B"/>
    <w:rsid w:val="00EA10FE"/>
    <w:rsid w:val="00EA17F8"/>
    <w:rsid w:val="00EA5CFD"/>
    <w:rsid w:val="00EB0631"/>
    <w:rsid w:val="00EB09CB"/>
    <w:rsid w:val="00EB3C5A"/>
    <w:rsid w:val="00EB3D74"/>
    <w:rsid w:val="00EC0B6B"/>
    <w:rsid w:val="00EC1538"/>
    <w:rsid w:val="00EC3057"/>
    <w:rsid w:val="00ED0F91"/>
    <w:rsid w:val="00ED2DB3"/>
    <w:rsid w:val="00ED3D82"/>
    <w:rsid w:val="00ED4051"/>
    <w:rsid w:val="00ED4F45"/>
    <w:rsid w:val="00ED746E"/>
    <w:rsid w:val="00EE1598"/>
    <w:rsid w:val="00EE262B"/>
    <w:rsid w:val="00EE31D1"/>
    <w:rsid w:val="00EE664B"/>
    <w:rsid w:val="00EE68D1"/>
    <w:rsid w:val="00EE714E"/>
    <w:rsid w:val="00EF32F9"/>
    <w:rsid w:val="00EF57A8"/>
    <w:rsid w:val="00EF5B65"/>
    <w:rsid w:val="00EF6352"/>
    <w:rsid w:val="00EF79CB"/>
    <w:rsid w:val="00EF7E0B"/>
    <w:rsid w:val="00F007E2"/>
    <w:rsid w:val="00F00D24"/>
    <w:rsid w:val="00F02180"/>
    <w:rsid w:val="00F026BD"/>
    <w:rsid w:val="00F06630"/>
    <w:rsid w:val="00F156D9"/>
    <w:rsid w:val="00F1602D"/>
    <w:rsid w:val="00F22B29"/>
    <w:rsid w:val="00F235BF"/>
    <w:rsid w:val="00F2564B"/>
    <w:rsid w:val="00F2628D"/>
    <w:rsid w:val="00F27DBF"/>
    <w:rsid w:val="00F300F5"/>
    <w:rsid w:val="00F311F9"/>
    <w:rsid w:val="00F355E6"/>
    <w:rsid w:val="00F35FE4"/>
    <w:rsid w:val="00F401E7"/>
    <w:rsid w:val="00F407B4"/>
    <w:rsid w:val="00F43CA4"/>
    <w:rsid w:val="00F607FD"/>
    <w:rsid w:val="00F63729"/>
    <w:rsid w:val="00F65C5A"/>
    <w:rsid w:val="00F709BD"/>
    <w:rsid w:val="00F70A8D"/>
    <w:rsid w:val="00F70DD5"/>
    <w:rsid w:val="00F70E49"/>
    <w:rsid w:val="00F71AA1"/>
    <w:rsid w:val="00F71F1F"/>
    <w:rsid w:val="00F752F3"/>
    <w:rsid w:val="00F80559"/>
    <w:rsid w:val="00F81F29"/>
    <w:rsid w:val="00F82F1C"/>
    <w:rsid w:val="00F83396"/>
    <w:rsid w:val="00F83FF1"/>
    <w:rsid w:val="00F849FD"/>
    <w:rsid w:val="00F90219"/>
    <w:rsid w:val="00F91559"/>
    <w:rsid w:val="00F94A92"/>
    <w:rsid w:val="00F96038"/>
    <w:rsid w:val="00F97984"/>
    <w:rsid w:val="00FA06B5"/>
    <w:rsid w:val="00FA2A9E"/>
    <w:rsid w:val="00FA2BBA"/>
    <w:rsid w:val="00FA3B5D"/>
    <w:rsid w:val="00FB0967"/>
    <w:rsid w:val="00FB2B52"/>
    <w:rsid w:val="00FB3455"/>
    <w:rsid w:val="00FB5138"/>
    <w:rsid w:val="00FC00A0"/>
    <w:rsid w:val="00FC031C"/>
    <w:rsid w:val="00FD112F"/>
    <w:rsid w:val="00FD1419"/>
    <w:rsid w:val="00FD6A76"/>
    <w:rsid w:val="00FE0388"/>
    <w:rsid w:val="00FE1D1B"/>
    <w:rsid w:val="00FE20DB"/>
    <w:rsid w:val="00FF07F9"/>
    <w:rsid w:val="00FF4C67"/>
    <w:rsid w:val="022A731E"/>
    <w:rsid w:val="02A64119"/>
    <w:rsid w:val="043D6C25"/>
    <w:rsid w:val="048667D3"/>
    <w:rsid w:val="049E006D"/>
    <w:rsid w:val="054C634F"/>
    <w:rsid w:val="07BD0E51"/>
    <w:rsid w:val="08DB7764"/>
    <w:rsid w:val="0C9A6ED5"/>
    <w:rsid w:val="100603AC"/>
    <w:rsid w:val="10F1631B"/>
    <w:rsid w:val="12A93FD5"/>
    <w:rsid w:val="130C2FEE"/>
    <w:rsid w:val="13CE1647"/>
    <w:rsid w:val="17B84A32"/>
    <w:rsid w:val="19B01875"/>
    <w:rsid w:val="1A1C1CFA"/>
    <w:rsid w:val="1AD4001C"/>
    <w:rsid w:val="1C3E1334"/>
    <w:rsid w:val="1CFD4AD4"/>
    <w:rsid w:val="1D070020"/>
    <w:rsid w:val="1EB274DF"/>
    <w:rsid w:val="20106F8E"/>
    <w:rsid w:val="22B36787"/>
    <w:rsid w:val="231125AC"/>
    <w:rsid w:val="24077BFF"/>
    <w:rsid w:val="26A5092E"/>
    <w:rsid w:val="28260401"/>
    <w:rsid w:val="2B110340"/>
    <w:rsid w:val="2CF51D47"/>
    <w:rsid w:val="2F640DE8"/>
    <w:rsid w:val="31190CC6"/>
    <w:rsid w:val="33FD7752"/>
    <w:rsid w:val="37922635"/>
    <w:rsid w:val="379540A7"/>
    <w:rsid w:val="3989156E"/>
    <w:rsid w:val="3A15477F"/>
    <w:rsid w:val="3A242466"/>
    <w:rsid w:val="3C47334E"/>
    <w:rsid w:val="3CB26D1E"/>
    <w:rsid w:val="3EF07F7A"/>
    <w:rsid w:val="43ED3C40"/>
    <w:rsid w:val="495323ED"/>
    <w:rsid w:val="4AF3601A"/>
    <w:rsid w:val="4BA315C9"/>
    <w:rsid w:val="4CC6446A"/>
    <w:rsid w:val="4E7B4170"/>
    <w:rsid w:val="544D740E"/>
    <w:rsid w:val="55AE0FCF"/>
    <w:rsid w:val="58FE18D5"/>
    <w:rsid w:val="594914BB"/>
    <w:rsid w:val="5CA82CD1"/>
    <w:rsid w:val="5FCE09A6"/>
    <w:rsid w:val="60ED5F11"/>
    <w:rsid w:val="64122457"/>
    <w:rsid w:val="646426D5"/>
    <w:rsid w:val="64BC4F31"/>
    <w:rsid w:val="64C3416F"/>
    <w:rsid w:val="6624577F"/>
    <w:rsid w:val="67161F83"/>
    <w:rsid w:val="68817BAC"/>
    <w:rsid w:val="68DB6F84"/>
    <w:rsid w:val="6A1706CF"/>
    <w:rsid w:val="6A563FBC"/>
    <w:rsid w:val="6A7E3167"/>
    <w:rsid w:val="6D873407"/>
    <w:rsid w:val="6DA24319"/>
    <w:rsid w:val="6EA81B75"/>
    <w:rsid w:val="6FE35A27"/>
    <w:rsid w:val="72167982"/>
    <w:rsid w:val="739B783A"/>
    <w:rsid w:val="75536D10"/>
    <w:rsid w:val="75B30C82"/>
    <w:rsid w:val="76B57CE1"/>
    <w:rsid w:val="770E7892"/>
    <w:rsid w:val="77980A6E"/>
    <w:rsid w:val="77F71564"/>
    <w:rsid w:val="792A54A4"/>
    <w:rsid w:val="79F15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qFormat/>
    <w:uiPriority w:val="0"/>
  </w:style>
  <w:style w:type="character" w:styleId="9">
    <w:name w:val="Hyperlink"/>
    <w:qFormat/>
    <w:uiPriority w:val="0"/>
    <w:rPr>
      <w:color w:val="0000FF"/>
      <w:u w:val="single"/>
    </w:rPr>
  </w:style>
  <w:style w:type="character" w:customStyle="1" w:styleId="10">
    <w:name w:val="已访问的超链接1"/>
    <w:qFormat/>
    <w:uiPriority w:val="0"/>
    <w:rPr>
      <w:color w:val="800080"/>
      <w:u w:val="single"/>
    </w:rPr>
  </w:style>
  <w:style w:type="character" w:customStyle="1" w:styleId="11">
    <w:name w:val="页眉 Char"/>
    <w:link w:val="4"/>
    <w:qFormat/>
    <w:uiPriority w:val="0"/>
    <w:rPr>
      <w:kern w:val="2"/>
      <w:sz w:val="18"/>
      <w:szCs w:val="18"/>
    </w:rPr>
  </w:style>
  <w:style w:type="character" w:customStyle="1" w:styleId="12">
    <w:name w:val="页脚 Char"/>
    <w:link w:val="3"/>
    <w:qFormat/>
    <w:uiPriority w:val="0"/>
    <w:rPr>
      <w:kern w:val="2"/>
      <w:sz w:val="18"/>
      <w:szCs w:val="18"/>
    </w:rPr>
  </w:style>
  <w:style w:type="paragraph" w:customStyle="1" w:styleId="13">
    <w:name w:val="目录 21"/>
    <w:basedOn w:val="1"/>
    <w:next w:val="1"/>
    <w:qFormat/>
    <w:uiPriority w:val="39"/>
    <w:pPr>
      <w:tabs>
        <w:tab w:val="right" w:leader="dot" w:pos="8494"/>
      </w:tabs>
      <w:spacing w:line="560" w:lineRule="exact"/>
      <w:ind w:left="210"/>
      <w:jc w:val="left"/>
    </w:pPr>
    <w:rPr>
      <w:rFonts w:ascii="仿宋_GB2312" w:hAnsi="Calibri" w:eastAsia="仿宋_GB2312" w:cs="Calibri"/>
      <w:smallCaps/>
      <w:sz w:val="28"/>
      <w:szCs w:val="28"/>
    </w:rPr>
  </w:style>
  <w:style w:type="paragraph" w:customStyle="1" w:styleId="14">
    <w:name w:val="目录 11"/>
    <w:basedOn w:val="1"/>
    <w:next w:val="1"/>
    <w:qFormat/>
    <w:uiPriority w:val="39"/>
    <w:pPr>
      <w:tabs>
        <w:tab w:val="left" w:pos="840"/>
        <w:tab w:val="right" w:leader="dot" w:pos="8296"/>
      </w:tabs>
      <w:spacing w:line="560" w:lineRule="exact"/>
      <w:jc w:val="left"/>
    </w:pPr>
    <w:rPr>
      <w:rFonts w:ascii="仿宋_GB2312" w:hAnsi="新宋体" w:eastAsia="仿宋_GB2312" w:cs="Calibri"/>
      <w:b/>
      <w:bCs/>
      <w:caps/>
      <w:sz w:val="28"/>
      <w:szCs w:val="28"/>
    </w:rPr>
  </w:style>
  <w:style w:type="paragraph" w:customStyle="1" w:styleId="15">
    <w:name w:val="Char Char Char Char Char Char Char"/>
    <w:basedOn w:val="1"/>
    <w:qFormat/>
    <w:uiPriority w:val="0"/>
    <w:rPr>
      <w:szCs w:val="21"/>
    </w:rPr>
  </w:style>
  <w:style w:type="paragraph" w:customStyle="1" w:styleId="16">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
<Relationship Id="rId1" Target="styles.xml" Type="http://schemas.openxmlformats.org/officeDocument/2006/relationships/styles"/>
<Relationship Id="rId10" Target="numbering.xml" Type="http://schemas.openxmlformats.org/officeDocument/2006/relationships/numbering"/>
<Relationship Id="rId11" Target="fontTable.xml" Type="http://schemas.openxmlformats.org/officeDocument/2006/relationships/fontTable"/>
<Relationship Id="rId2" Target="settings.xml" Type="http://schemas.openxmlformats.org/officeDocument/2006/relationships/settings"/>
<Relationship Id="rId3" Target="header1.xml" Type="http://schemas.openxmlformats.org/officeDocument/2006/relationships/header"/>
<Relationship Id="rId4" Target="header2.xml" Type="http://schemas.openxmlformats.org/officeDocument/2006/relationships/header"/>
<Relationship Id="rId5" Target="footer1.xml" Type="http://schemas.openxmlformats.org/officeDocument/2006/relationships/footer"/>
<Relationship Id="rId6" Target="footer2.xml" Type="http://schemas.openxmlformats.org/officeDocument/2006/relationships/footer"/>
<Relationship Id="rId7" Target="header3.xml" Type="http://schemas.openxmlformats.org/officeDocument/2006/relationships/header"/>
<Relationship Id="rId8" Target="footer3.xml" Type="http://schemas.openxmlformats.org/officeDocument/2006/relationships/footer"/>
<Relationship Id="rId9" Target="theme/theme1.xml" Type="http://schemas.openxmlformats.org/officeDocument/2006/relationships/them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czj</Company>
  <Pages>3</Pages>
  <Words>270</Words>
  <Characters>780</Characters>
  <Lines>6</Lines>
  <Paragraphs>1</Paragraphs>
  <TotalTime>5</TotalTime>
  <ScaleCrop>false</ScaleCrop>
  <LinksUpToDate>false</LinksUpToDate>
  <CharactersWithSpaces>780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2020-12-31T06:58:00Z</dcterms:created>
  <dc:creator>傅海英</dc:creator>
  <cp:lastModifiedBy>木木三</cp:lastModifiedBy>
  <cp:lastPrinted>2019-06-21T02:10:00Z</cp:lastPrinted>
  <dcterms:modified xsi:type="dcterms:W3CDTF">2026-02-27T08:35:46Z</dcterms:modified>
  <cp:revision>7</cp:revision>
  <dc:title>关于进行本市部门整体支出</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739EEDB2ECE141DEAF0C3D87D58590AD_13</vt:lpwstr>
  </property>
  <property fmtid="{D5CDD505-2E9C-101B-9397-08002B2CF9AE}" pid="4" name="KSOTemplateDocerSaveRecord">
    <vt:lpwstr>eyJoZGlkIjoiMmVmMTQ4NTZkNTIwMmU5ZDBhYTZhYjI1NWVjNGI1Y2IiLCJ1c2VySWQiOiIyMjg1MzQ1OTUifQ==</vt:lpwstr>
  </property>
</Properties>
</file>