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0"/>
        </w:rPr>
      </w:pPr>
    </w:p>
    <w:p>
      <w:pPr>
        <w:spacing w:line="360" w:lineRule="auto"/>
        <w:jc w:val="center"/>
        <w:rPr>
          <w:rFonts w:ascii="黑体" w:hAnsi="黑体" w:eastAsia="黑体"/>
          <w:sz w:val="32"/>
          <w:szCs w:val="32"/>
        </w:rPr>
      </w:pPr>
      <w:r>
        <w:rPr>
          <w:rFonts w:hint="eastAsia" w:ascii="黑体" w:hAnsi="黑体" w:eastAsia="黑体"/>
          <w:sz w:val="32"/>
          <w:szCs w:val="32"/>
        </w:rPr>
        <w:t>苏州市市级预算部门（单位）整体支出预算绩效自评报告</w:t>
      </w:r>
    </w:p>
    <w:p>
      <w:pPr>
        <w:spacing w:line="360" w:lineRule="auto"/>
        <w:jc w:val="center"/>
        <w:rPr>
          <w:rFonts w:ascii="黑体" w:eastAsia="黑体"/>
          <w:sz w:val="32"/>
          <w:szCs w:val="32"/>
        </w:rPr>
      </w:pPr>
      <w:r>
        <w:rPr>
          <w:rFonts w:hint="eastAsia" w:ascii="黑体" w:eastAsia="黑体"/>
          <w:sz w:val="32"/>
          <w:szCs w:val="32"/>
        </w:rPr>
        <w:t>（2022年度）</w:t>
      </w:r>
    </w:p>
    <w:p>
      <w:pPr>
        <w:spacing w:line="360" w:lineRule="auto"/>
        <w:jc w:val="center"/>
        <w:rPr>
          <w:rFonts w:eastAsia="仿宋_GB2312"/>
          <w:sz w:val="30"/>
        </w:rPr>
      </w:pPr>
      <w:bookmarkStart w:id="0" w:name="_GoBack"/>
      <w:bookmarkEnd w:id="0"/>
    </w:p>
    <w:p>
      <w:pPr>
        <w:spacing w:line="360" w:lineRule="auto"/>
        <w:ind w:firstLine="600" w:firstLineChars="200"/>
        <w:rPr>
          <w:rFonts w:ascii="黑体" w:hAnsi="黑体" w:eastAsia="黑体"/>
          <w:sz w:val="30"/>
        </w:rPr>
      </w:pPr>
      <w:r>
        <w:rPr>
          <w:rFonts w:hint="eastAsia" w:ascii="黑体" w:hAnsi="黑体" w:eastAsia="黑体"/>
          <w:sz w:val="30"/>
        </w:rPr>
        <w:t>一、预算部门名称：</w:t>
      </w:r>
      <w:r>
        <w:rPr>
          <w:rFonts w:hint="eastAsia" w:ascii="宋体" w:hAnsi="宋体" w:cs="宋体"/>
          <w:sz w:val="24"/>
        </w:rPr>
        <w:t>苏州市农业科学院</w:t>
      </w:r>
    </w:p>
    <w:p>
      <w:pPr>
        <w:spacing w:line="360" w:lineRule="auto"/>
        <w:ind w:firstLine="600" w:firstLineChars="200"/>
        <w:rPr>
          <w:rFonts w:ascii="黑体" w:hAnsi="黑体" w:eastAsia="黑体"/>
          <w:sz w:val="30"/>
        </w:rPr>
      </w:pPr>
      <w:r>
        <w:rPr>
          <w:rFonts w:hint="eastAsia" w:ascii="黑体" w:hAnsi="黑体" w:eastAsia="黑体"/>
          <w:sz w:val="30"/>
        </w:rPr>
        <w:t>二、</w:t>
      </w:r>
      <w:r>
        <w:rPr>
          <w:rFonts w:ascii="黑体" w:hAnsi="黑体" w:eastAsia="黑体"/>
          <w:sz w:val="30"/>
        </w:rPr>
        <w:t>年度履职目标完成情况</w:t>
      </w:r>
      <w:r>
        <w:rPr>
          <w:rFonts w:hint="eastAsia" w:ascii="黑体" w:hAnsi="黑体" w:eastAsia="黑体"/>
          <w:sz w:val="30"/>
        </w:rPr>
        <w:t>：</w:t>
      </w:r>
    </w:p>
    <w:p>
      <w:pPr>
        <w:spacing w:line="360" w:lineRule="auto"/>
        <w:ind w:firstLine="480" w:firstLineChars="200"/>
        <w:rPr>
          <w:rFonts w:ascii="宋体" w:hAnsi="宋体" w:cs="宋体"/>
          <w:sz w:val="24"/>
        </w:rPr>
      </w:pPr>
      <w:r>
        <w:rPr>
          <w:rFonts w:hint="eastAsia" w:ascii="宋体" w:hAnsi="宋体" w:cs="宋体"/>
          <w:sz w:val="24"/>
        </w:rPr>
        <w:t>（1）成果产出稳步提升。作为主持单位获得省部级“国家农牧渔丰收奖二等奖”1项，为我院近十年来首次获得该项奖励；作为第二完成单位获得江苏省科技进步奖三等奖1项；以第6完成单位中国农业绿色发展研究会科学技术奖一等奖1项；另有3项成果参加江苏省科技进步奖、江苏省农业科技奖和天津市科学技术奖的申报工作。新品种新技术示范与应用效果进一步显现。新审定的水稻品种“苏粳4699”在苏州各县区布点示范，生态适应性和产量潜力表现良好；“苏香粳100”通过扩区审定，推广种植区域扩大至江苏省沿江和苏南地区；蔬菜新品种“苏青1号”实现品种经营权转让。36个水稻、油菜、蔬菜等新品系正参加省级及以上区域试验和鉴定工作，部分新品系有望在今年通过省级审（鉴）定。组织开展的苏芡20、苏芡21、特色南瓜、秋薹1号等新品种的推介和成果评价活动，为进一步推广应用提供了扎实的基础。（2）科技服务精准发力。充分发挥亚夫科技服务平台优势，牵头组建“优质稻米产业化开发协同推广联盟”，谋划成立亚夫科技服务太仓双凤镇勤力村站和吴中东山站。新增江苏省现代产业体系基地主任1名，围绕国家和省级产业体系综合试验站工作，组织开展线上线下技术培训活动，全程对接全产业链技术模式推广服务，积极推动苏州优质稻米产业、油蔬（菜）产业高质量发展。积极组织科技人员下园区下基地，进一步对接地方农业技术推广部门与科技型企业、家庭农场等生产经营主体，承担中央农作物秸秆综合利用重点县建设、江苏省现代农业产业体系示范基地建设的方案编制和技术指导工作；推广苏香粳100、苏油薹1号、苏油8号、芡实20号、芡实21号等新品种10个；推广“稻茬机开沟垄播油菜/蚕豆绿色高效间套作关键创新技术”等新技术11项，为苏州稳粮保供提供科技支撑。与太仓市农业农村局、宜兴市农业农村局、盐城市农科院、江苏农垦集团、苏州农发集团、苏州亿扬沸石生物科技有限公司等政府、院所、科技企业达成科技合作意向；成立苏州青禾科技服务团队，聚焦菜农急难愁盼问题，科学施策，精准服务，提高广大种植户的蔬菜生产水平，助力全市蔬菜产业高效发展；发挥院蔬菜所科普教育基地功能，多次开展进校园《五“菜”缤纷的蔬菜》讲座和参观“水八仙”种植场景等活动，有力提升我院的社会影响力。（3）科技平台建设持续加强。一是完成土壤三普工作中土壤有关指标的资质认证工作，院农产品检测鉴定评价中心现具有近200项省级认定的检测资质指标，苏州市农业科学院检测评价鉴定技术中心通过农业农村部审核，获批第三次全国土壤普查检测实验室，为今后参与土壤三普的检测工作打下了扎实的基础。二是全面完成国家土壤质量相城实验站的建设工作，圆满完成省农业农村厅组织的验收任务；三是与扬州大学新建江苏省研究生工作站，多名科研人员成为扬州大学的硕士生导师；组织完成了“一院三基地”建设规划的认证工作，已呈报市委市政府，有望名年获得立项；四是开展院绿化工程实施，院容院貌逐渐美化亮化。（4）干部人才引培实现突破。一是严格按照干部任命程序，提拔两名研究部门主任助理。二是多渠道引进高质量人才。全年新进人才7名。通过苏州市专业化青年人才定岗特选及特设岗位招聘，引进人才4名，事业单位招考引进人才2名，通过特设岗位渠道引进四级研究员1名。 三是多层次加强人才交流。遴选2名科技人员分赴中国农科院、江苏省农业农村厅交流学习；选派1名中层干部任相城区望亭镇科技副镇长；委派1名院领导任吴江区银杏村“第一书记”。四是多方位提升干部能力。安排全院干部参加苏州大学组织开展为期三天的能力提升培训班；组织科研骨干、中层干部、纪检人员等参加省农科院、市人社局组织的各类专题培训班，助力干部人才成长。在省农科院第二批三级重点人才考核中，我院获考核优秀、合格等次各1名。</w:t>
      </w:r>
    </w:p>
    <w:p>
      <w:pPr>
        <w:spacing w:line="360" w:lineRule="auto"/>
        <w:ind w:left="600"/>
        <w:rPr>
          <w:rFonts w:ascii="黑体" w:hAnsi="黑体" w:eastAsia="黑体"/>
          <w:sz w:val="30"/>
        </w:rPr>
      </w:pPr>
      <w:r>
        <w:rPr>
          <w:rFonts w:hint="eastAsia" w:ascii="黑体" w:hAnsi="黑体" w:eastAsia="黑体"/>
          <w:sz w:val="30"/>
        </w:rPr>
        <w:t>三、部门（单位）概况</w:t>
      </w:r>
    </w:p>
    <w:p>
      <w:pPr>
        <w:spacing w:line="360" w:lineRule="auto"/>
        <w:ind w:firstLine="480" w:firstLineChars="200"/>
        <w:rPr>
          <w:rFonts w:ascii="宋体" w:hAnsi="宋体" w:cs="宋体"/>
          <w:sz w:val="24"/>
        </w:rPr>
      </w:pPr>
      <w:r>
        <w:rPr>
          <w:rFonts w:hint="eastAsia" w:ascii="宋体" w:hAnsi="宋体" w:cs="宋体"/>
          <w:sz w:val="24"/>
        </w:rPr>
        <w:t>本单位创建于1950年5月，1983年进入江苏省农业科技创新体系，为苏州市人民政府直属正处级建制的公益一类事业单位，增挂“江苏太湖地区农业科学研究所”牌子。主要职能是承担国家、省、市农业科研项目，主要在水稻、油菜、蔬菜、荷花等新品种引进、选育与高效安全技术示范推广，农业资源高效利用、生态环境保护，农业休闲、观赏性园林植物养护，农产品保鲜、贮藏、加工，高新技术引进与集成创新等领域开展应用基础研究与成果转化推广工作，为太湖地区特别是苏州市农业和农村经济发展提供成果保证和技术支撑。本单位共设12个内设机构，其中5个职能机构和7个研究机构,包括：办公室、人事处、财务处、科技管理处、后勤服务处、农业资源与环境研究中心、智慧农业研究中心、作物育种与栽培研究室、休闲农业研究室、农产品贮藏加工与质量安全研究室、蔬菜研究所、土壤质量观测试验站。本单位的人员配置：全额事业编制117个，公益性岗位编制4名，2022年末实际用编人数112人，公益性岗位1人。</w:t>
      </w:r>
    </w:p>
    <w:p>
      <w:pPr>
        <w:spacing w:line="360" w:lineRule="auto"/>
        <w:ind w:left="600"/>
        <w:rPr>
          <w:rFonts w:ascii="黑体" w:hAnsi="黑体" w:eastAsia="黑体"/>
          <w:sz w:val="30"/>
        </w:rPr>
      </w:pPr>
      <w:r>
        <w:rPr>
          <w:rFonts w:hint="eastAsia" w:ascii="黑体" w:hAnsi="黑体" w:eastAsia="黑体"/>
          <w:sz w:val="30"/>
        </w:rPr>
        <w:t>四、部门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整体支出绩效实现情况</w:t>
      </w:r>
    </w:p>
    <w:p>
      <w:pPr>
        <w:spacing w:line="360" w:lineRule="auto"/>
        <w:ind w:firstLine="480" w:firstLineChars="200"/>
        <w:rPr>
          <w:rFonts w:ascii="宋体" w:hAnsi="宋体" w:cs="宋体"/>
          <w:sz w:val="24"/>
        </w:rPr>
      </w:pPr>
      <w:r>
        <w:rPr>
          <w:rFonts w:hint="eastAsia" w:ascii="宋体" w:hAnsi="宋体" w:cs="宋体"/>
          <w:sz w:val="24"/>
        </w:rPr>
        <w:t xml:space="preserve"> 2022年度基本支出年初预算4,359.76万元，调整预算数为4,815.58万元，实际支出4,470.46万元。 2022年度项目支出年初预算1,367.14万元，调整预算数为1,872.15万元，实际支出1,804.42万元，预算执行率为96.38%。总共16个项目，其中科研基金、非税返还项目、生产经费、专项租赁费、伙食经费、专项培训费、党团活动经费7个项目的预算执行率都为100%。办公设备购置、基地用工、大型修缮费用、物业管理费4个项目的预算执行率都大于90%。委托业务费、体检费、水电费3个项目的的执行率都在80%-90%之间。</w:t>
      </w:r>
    </w:p>
    <w:p>
      <w:pPr>
        <w:spacing w:line="360" w:lineRule="auto"/>
        <w:ind w:left="600"/>
        <w:rPr>
          <w:rFonts w:ascii="黑体" w:hAnsi="黑体" w:eastAsia="黑体"/>
          <w:sz w:val="30"/>
        </w:rPr>
      </w:pPr>
      <w:r>
        <w:rPr>
          <w:rFonts w:hint="eastAsia" w:ascii="黑体" w:hAnsi="黑体" w:eastAsia="黑体"/>
          <w:sz w:val="30"/>
        </w:rPr>
        <w:t>五、部门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整体支出绩效中存</w:t>
      </w:r>
      <w:r>
        <w:rPr>
          <w:rFonts w:ascii="黑体" w:hAnsi="黑体" w:eastAsia="黑体"/>
          <w:sz w:val="30"/>
        </w:rPr>
        <w:t>在问题</w:t>
      </w:r>
      <w:r>
        <w:rPr>
          <w:rFonts w:hint="eastAsia" w:ascii="黑体" w:hAnsi="黑体" w:eastAsia="黑体"/>
          <w:sz w:val="30"/>
        </w:rPr>
        <w:t>及</w:t>
      </w:r>
      <w:r>
        <w:rPr>
          <w:rFonts w:ascii="黑体" w:hAnsi="黑体" w:eastAsia="黑体"/>
          <w:sz w:val="30"/>
        </w:rPr>
        <w:t>改进措施</w:t>
      </w:r>
    </w:p>
    <w:p>
      <w:pPr>
        <w:spacing w:line="360" w:lineRule="auto"/>
        <w:ind w:firstLine="480" w:firstLineChars="200"/>
        <w:rPr>
          <w:rFonts w:ascii="宋体" w:hAnsi="宋体" w:cs="宋体"/>
          <w:sz w:val="24"/>
        </w:rPr>
      </w:pPr>
      <w:r>
        <w:rPr>
          <w:rFonts w:hint="eastAsia" w:ascii="宋体" w:hAnsi="宋体" w:cs="宋体"/>
          <w:sz w:val="24"/>
        </w:rPr>
        <w:t>公务出国（境）费因财政经费调整和疫情影响未能开展外出参观交流活动，预算未能完成。今后要加强调研，征集各部门意见，充分预估国际、国内形势，进行精准预算。行政诉讼费由于预算与实际合同金额存在差异，导致预算未能完成。今后要根据现有合同金额做下一年的预算。委托业务费由于项目内容较多</w:t>
      </w:r>
      <w:r>
        <w:rPr>
          <w:rFonts w:hint="eastAsia" w:ascii="宋体" w:hAnsi="宋体" w:cs="宋体"/>
          <w:sz w:val="24"/>
          <w:lang w:eastAsia="zh-CN"/>
        </w:rPr>
        <w:t>、</w:t>
      </w:r>
      <w:r>
        <w:rPr>
          <w:rFonts w:hint="eastAsia" w:ascii="宋体" w:hAnsi="宋体" w:cs="宋体"/>
          <w:sz w:val="24"/>
        </w:rPr>
        <w:t>招标金额与计划</w:t>
      </w:r>
      <w:r>
        <w:rPr>
          <w:rFonts w:hint="eastAsia" w:ascii="宋体" w:hAnsi="宋体" w:cs="宋体"/>
          <w:sz w:val="24"/>
          <w:lang w:val="en-US" w:eastAsia="zh-CN"/>
        </w:rPr>
        <w:t>有</w:t>
      </w:r>
      <w:r>
        <w:rPr>
          <w:rFonts w:hint="eastAsia" w:ascii="宋体" w:hAnsi="宋体" w:cs="宋体"/>
          <w:sz w:val="24"/>
        </w:rPr>
        <w:t>差异，未能全部完成，预算执行率为80.74%，今后委托业务费按计划按预算执行细分到各个部门，明确各部门的责任。体检费由于35职工因做手术、居住在外地、年龄大行动不便等原因2022年未能进行体检，导致预算执行率为88.5%。今后要做好健康体检的宣传工作，对2022年度未体检的职工，一对一电话咨询，确因客观原因不能体检，动员职工子女书面提出申请，将不纳入下年度体检预算。水电费项目由于单位水电气难预估，使用量也是根据日常办公消耗，不能精准预算，当年预算执行进度87.09%，与计划有差异。今后尽可能测算精准，完成预算执行进度。</w:t>
      </w:r>
    </w:p>
    <w:p>
      <w:pPr>
        <w:spacing w:line="360" w:lineRule="auto"/>
        <w:ind w:firstLine="600" w:firstLineChars="200"/>
        <w:rPr>
          <w:rFonts w:ascii="黑体" w:hAnsi="黑体" w:eastAsia="黑体"/>
          <w:sz w:val="30"/>
        </w:rPr>
      </w:pPr>
      <w:r>
        <w:rPr>
          <w:rFonts w:hint="eastAsia" w:ascii="黑体" w:hAnsi="黑体" w:eastAsia="黑体"/>
          <w:sz w:val="30"/>
        </w:rPr>
        <w:t>六、</w:t>
      </w:r>
      <w:r>
        <w:rPr>
          <w:rFonts w:ascii="黑体" w:hAnsi="黑体" w:eastAsia="黑体"/>
          <w:sz w:val="30"/>
        </w:rPr>
        <w:t>绩效自评</w:t>
      </w:r>
      <w:r>
        <w:rPr>
          <w:rFonts w:hint="eastAsia" w:ascii="黑体" w:hAnsi="黑体" w:eastAsia="黑体"/>
          <w:sz w:val="30"/>
        </w:rPr>
        <w:t>结果</w:t>
      </w:r>
      <w:r>
        <w:rPr>
          <w:rFonts w:ascii="黑体" w:hAnsi="黑体" w:eastAsia="黑体"/>
          <w:sz w:val="30"/>
        </w:rPr>
        <w:t>拟应用和公开</w:t>
      </w:r>
      <w:r>
        <w:rPr>
          <w:rFonts w:hint="eastAsia" w:ascii="黑体" w:hAnsi="黑体" w:eastAsia="黑体"/>
          <w:sz w:val="30"/>
        </w:rPr>
        <w:t>情况</w:t>
      </w:r>
    </w:p>
    <w:p>
      <w:pPr>
        <w:spacing w:line="360" w:lineRule="auto"/>
        <w:ind w:firstLine="480" w:firstLineChars="200"/>
        <w:rPr>
          <w:rFonts w:ascii="宋体" w:hAnsi="宋体" w:cs="宋体"/>
          <w:sz w:val="24"/>
        </w:rPr>
        <w:sectPr>
          <w:headerReference r:id="rId3" w:type="default"/>
          <w:footerReference r:id="rId5" w:type="default"/>
          <w:headerReference r:id="rId4" w:type="even"/>
          <w:footerReference r:id="rId6" w:type="even"/>
          <w:pgSz w:w="11907" w:h="16840"/>
          <w:pgMar w:top="1247" w:right="1400" w:bottom="1089" w:left="1559" w:header="851" w:footer="992" w:gutter="0"/>
          <w:paperSrc w:first="15" w:other="15"/>
          <w:cols w:space="720" w:num="1"/>
          <w:docGrid w:type="lines" w:linePitch="312" w:charSpace="0"/>
        </w:sectPr>
      </w:pPr>
      <w:r>
        <w:rPr>
          <w:rFonts w:hint="eastAsia" w:ascii="宋体" w:hAnsi="宋体" w:cs="宋体"/>
          <w:sz w:val="24"/>
        </w:rPr>
        <w:t>根据2022年绩效自评结果，调整2023年度的项目绩效目标完成值和整体绩效目标完成值，也为2024年度预算编制提供参考。2022年4月对2022年度市级部门整体支出预算绩效目标进行公开。2022年10月对2021年度市级财政支出项目绩效评价结果进行公开。</w:t>
      </w:r>
    </w:p>
    <w:p>
      <w:pPr>
        <w:numPr>
          <w:ilvl w:val="0"/>
          <w:numId w:val="1"/>
        </w:numPr>
        <w:spacing w:line="360" w:lineRule="auto"/>
        <w:ind w:left="600"/>
        <w:rPr>
          <w:rFonts w:ascii="黑体" w:hAnsi="黑体" w:eastAsia="黑体"/>
          <w:sz w:val="30"/>
        </w:rPr>
      </w:pPr>
      <w:r>
        <w:rPr>
          <w:rFonts w:hint="eastAsia" w:ascii="黑体" w:hAnsi="黑体" w:eastAsia="黑体"/>
          <w:sz w:val="30"/>
        </w:rPr>
        <w:t>预算信息</w:t>
      </w:r>
    </w:p>
    <w:p>
      <w:pPr>
        <w:spacing w:line="360" w:lineRule="auto"/>
        <w:ind w:left="600"/>
        <w:rPr>
          <w:rFonts w:ascii="黑体" w:hAnsi="黑体" w:eastAsia="黑体"/>
          <w:sz w:val="30"/>
        </w:rPr>
      </w:pPr>
    </w:p>
    <w:tbl>
      <w:tblPr>
        <w:tblStyle w:val="5"/>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本年度预算资金（万元）</w:t>
            </w:r>
          </w:p>
        </w:tc>
        <w:tc>
          <w:tcPr>
            <w:tcW w:w="2268"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年初预算数（万元）</w:t>
            </w:r>
          </w:p>
        </w:tc>
        <w:tc>
          <w:tcPr>
            <w:tcW w:w="2268"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上年度结转及当年预算追加追减数(万元）</w:t>
            </w:r>
          </w:p>
        </w:tc>
        <w:tc>
          <w:tcPr>
            <w:tcW w:w="2268"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调整预算数（万元）</w:t>
            </w:r>
          </w:p>
        </w:tc>
        <w:tc>
          <w:tcPr>
            <w:tcW w:w="2268"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实际支出数（万元）</w:t>
            </w:r>
          </w:p>
        </w:tc>
        <w:tc>
          <w:tcPr>
            <w:tcW w:w="2268"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预算总金额</w:t>
            </w:r>
          </w:p>
        </w:tc>
        <w:tc>
          <w:tcPr>
            <w:tcW w:w="2268" w:type="dxa"/>
            <w:vAlign w:val="center"/>
          </w:tcPr>
          <w:p>
            <w:pPr>
              <w:widowControl/>
              <w:jc w:val="center"/>
              <w:rPr>
                <w:rFonts w:ascii="宋体" w:hAnsi="宋体" w:cs="宋体"/>
                <w:kern w:val="0"/>
                <w:sz w:val="24"/>
              </w:rPr>
            </w:pPr>
            <w:r>
              <w:rPr>
                <w:rFonts w:hint="eastAsia" w:ascii="宋体" w:hAnsi="宋体" w:cs="宋体"/>
                <w:sz w:val="24"/>
              </w:rPr>
              <w:t>5726.9</w:t>
            </w:r>
          </w:p>
        </w:tc>
        <w:tc>
          <w:tcPr>
            <w:tcW w:w="2268" w:type="dxa"/>
            <w:vAlign w:val="center"/>
          </w:tcPr>
          <w:p>
            <w:pPr>
              <w:widowControl/>
              <w:jc w:val="center"/>
              <w:rPr>
                <w:rFonts w:ascii="宋体" w:hAnsi="宋体" w:cs="宋体"/>
                <w:sz w:val="24"/>
              </w:rPr>
            </w:pPr>
            <w:r>
              <w:rPr>
                <w:rFonts w:hint="eastAsia" w:ascii="宋体" w:hAnsi="宋体" w:cs="宋体"/>
                <w:sz w:val="24"/>
              </w:rPr>
              <w:t>960.83</w:t>
            </w:r>
          </w:p>
        </w:tc>
        <w:tc>
          <w:tcPr>
            <w:tcW w:w="2268" w:type="dxa"/>
            <w:vAlign w:val="center"/>
          </w:tcPr>
          <w:p>
            <w:pPr>
              <w:widowControl/>
              <w:jc w:val="center"/>
              <w:rPr>
                <w:rFonts w:ascii="宋体" w:hAnsi="宋体" w:cs="宋体"/>
                <w:sz w:val="24"/>
              </w:rPr>
            </w:pPr>
            <w:r>
              <w:rPr>
                <w:rFonts w:hint="eastAsia" w:ascii="宋体" w:hAnsi="宋体" w:cs="宋体"/>
                <w:sz w:val="24"/>
              </w:rPr>
              <w:t>6687.73</w:t>
            </w:r>
          </w:p>
        </w:tc>
        <w:tc>
          <w:tcPr>
            <w:tcW w:w="2268" w:type="dxa"/>
            <w:vAlign w:val="center"/>
          </w:tcPr>
          <w:p>
            <w:pPr>
              <w:widowControl/>
              <w:jc w:val="center"/>
              <w:rPr>
                <w:rFonts w:ascii="宋体" w:hAnsi="宋体" w:cs="宋体"/>
                <w:sz w:val="24"/>
              </w:rPr>
            </w:pPr>
            <w:r>
              <w:rPr>
                <w:rFonts w:hint="eastAsia" w:ascii="宋体" w:hAnsi="宋体" w:cs="宋体"/>
                <w:sz w:val="24"/>
              </w:rPr>
              <w:t>6274.88</w:t>
            </w:r>
          </w:p>
        </w:tc>
        <w:tc>
          <w:tcPr>
            <w:tcW w:w="2268" w:type="dxa"/>
            <w:vAlign w:val="center"/>
          </w:tcPr>
          <w:p>
            <w:pPr>
              <w:widowControl/>
              <w:jc w:val="center"/>
              <w:rPr>
                <w:rFonts w:ascii="宋体" w:hAnsi="宋体" w:cs="宋体"/>
                <w:sz w:val="24"/>
              </w:rPr>
            </w:pPr>
            <w:r>
              <w:rPr>
                <w:rFonts w:hint="eastAsia" w:ascii="宋体" w:hAnsi="宋体" w:cs="宋体"/>
                <w:sz w:val="24"/>
              </w:rPr>
              <w:t>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基本支出</w:t>
            </w:r>
          </w:p>
        </w:tc>
        <w:tc>
          <w:tcPr>
            <w:tcW w:w="2268" w:type="dxa"/>
            <w:vAlign w:val="center"/>
          </w:tcPr>
          <w:p>
            <w:pPr>
              <w:widowControl/>
              <w:jc w:val="center"/>
              <w:rPr>
                <w:rFonts w:ascii="宋体" w:hAnsi="宋体" w:cs="宋体"/>
                <w:kern w:val="0"/>
                <w:sz w:val="24"/>
              </w:rPr>
            </w:pPr>
            <w:r>
              <w:rPr>
                <w:rFonts w:hint="eastAsia" w:ascii="宋体" w:hAnsi="宋体" w:cs="宋体"/>
                <w:sz w:val="24"/>
              </w:rPr>
              <w:t>4359.76</w:t>
            </w:r>
          </w:p>
        </w:tc>
        <w:tc>
          <w:tcPr>
            <w:tcW w:w="2268" w:type="dxa"/>
            <w:vAlign w:val="center"/>
          </w:tcPr>
          <w:p>
            <w:pPr>
              <w:widowControl/>
              <w:jc w:val="center"/>
              <w:rPr>
                <w:rFonts w:ascii="宋体" w:hAnsi="宋体" w:cs="宋体"/>
                <w:sz w:val="24"/>
              </w:rPr>
            </w:pPr>
            <w:r>
              <w:rPr>
                <w:rFonts w:hint="eastAsia" w:ascii="宋体" w:hAnsi="宋体" w:cs="宋体"/>
                <w:sz w:val="24"/>
              </w:rPr>
              <w:t>455.82</w:t>
            </w:r>
          </w:p>
        </w:tc>
        <w:tc>
          <w:tcPr>
            <w:tcW w:w="2268" w:type="dxa"/>
            <w:vAlign w:val="center"/>
          </w:tcPr>
          <w:p>
            <w:pPr>
              <w:widowControl/>
              <w:jc w:val="center"/>
              <w:rPr>
                <w:rFonts w:ascii="宋体" w:hAnsi="宋体" w:cs="宋体"/>
                <w:sz w:val="24"/>
              </w:rPr>
            </w:pPr>
            <w:r>
              <w:rPr>
                <w:rFonts w:hint="eastAsia" w:ascii="宋体" w:hAnsi="宋体" w:cs="宋体"/>
                <w:sz w:val="24"/>
              </w:rPr>
              <w:t>4815.58</w:t>
            </w:r>
          </w:p>
        </w:tc>
        <w:tc>
          <w:tcPr>
            <w:tcW w:w="2268" w:type="dxa"/>
            <w:vAlign w:val="center"/>
          </w:tcPr>
          <w:p>
            <w:pPr>
              <w:widowControl/>
              <w:jc w:val="center"/>
              <w:rPr>
                <w:rFonts w:ascii="宋体" w:hAnsi="宋体" w:cs="宋体"/>
                <w:sz w:val="24"/>
              </w:rPr>
            </w:pPr>
            <w:r>
              <w:rPr>
                <w:rFonts w:hint="eastAsia" w:ascii="宋体" w:hAnsi="宋体" w:cs="宋体"/>
                <w:sz w:val="24"/>
              </w:rPr>
              <w:t>4470.46</w:t>
            </w:r>
          </w:p>
        </w:tc>
        <w:tc>
          <w:tcPr>
            <w:tcW w:w="2268" w:type="dxa"/>
            <w:vAlign w:val="center"/>
          </w:tcPr>
          <w:p>
            <w:pPr>
              <w:widowControl/>
              <w:jc w:val="center"/>
              <w:rPr>
                <w:rFonts w:ascii="宋体" w:hAnsi="宋体" w:cs="宋体"/>
                <w:sz w:val="24"/>
              </w:rPr>
            </w:pPr>
            <w:r>
              <w:rPr>
                <w:rFonts w:hint="eastAsia" w:ascii="宋体" w:hAnsi="宋体" w:cs="宋体"/>
                <w:sz w:val="24"/>
              </w:rPr>
              <w:t>92.83%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项目支出</w:t>
            </w:r>
          </w:p>
        </w:tc>
        <w:tc>
          <w:tcPr>
            <w:tcW w:w="2268" w:type="dxa"/>
            <w:vAlign w:val="center"/>
          </w:tcPr>
          <w:p>
            <w:pPr>
              <w:widowControl/>
              <w:jc w:val="center"/>
              <w:rPr>
                <w:rFonts w:ascii="宋体" w:hAnsi="宋体" w:cs="宋体"/>
                <w:kern w:val="0"/>
                <w:sz w:val="24"/>
              </w:rPr>
            </w:pPr>
            <w:r>
              <w:rPr>
                <w:rFonts w:hint="eastAsia" w:ascii="宋体" w:hAnsi="宋体" w:cs="宋体"/>
                <w:sz w:val="24"/>
              </w:rPr>
              <w:t>1367.14</w:t>
            </w:r>
          </w:p>
        </w:tc>
        <w:tc>
          <w:tcPr>
            <w:tcW w:w="2268" w:type="dxa"/>
            <w:vAlign w:val="center"/>
          </w:tcPr>
          <w:p>
            <w:pPr>
              <w:widowControl/>
              <w:jc w:val="center"/>
              <w:rPr>
                <w:rFonts w:ascii="宋体" w:hAnsi="宋体" w:cs="宋体"/>
                <w:sz w:val="24"/>
              </w:rPr>
            </w:pPr>
            <w:r>
              <w:rPr>
                <w:rFonts w:hint="eastAsia" w:ascii="宋体" w:hAnsi="宋体" w:cs="宋体"/>
                <w:sz w:val="24"/>
              </w:rPr>
              <w:t>505.01</w:t>
            </w:r>
          </w:p>
        </w:tc>
        <w:tc>
          <w:tcPr>
            <w:tcW w:w="2268" w:type="dxa"/>
            <w:vAlign w:val="center"/>
          </w:tcPr>
          <w:p>
            <w:pPr>
              <w:widowControl/>
              <w:jc w:val="center"/>
              <w:rPr>
                <w:rFonts w:ascii="宋体" w:hAnsi="宋体" w:cs="宋体"/>
                <w:sz w:val="24"/>
              </w:rPr>
            </w:pPr>
            <w:r>
              <w:rPr>
                <w:rFonts w:hint="eastAsia" w:ascii="宋体" w:hAnsi="宋体" w:cs="宋体"/>
                <w:sz w:val="24"/>
              </w:rPr>
              <w:t>1872.15</w:t>
            </w:r>
          </w:p>
        </w:tc>
        <w:tc>
          <w:tcPr>
            <w:tcW w:w="2268" w:type="dxa"/>
            <w:vAlign w:val="center"/>
          </w:tcPr>
          <w:p>
            <w:pPr>
              <w:widowControl/>
              <w:jc w:val="center"/>
              <w:rPr>
                <w:rFonts w:ascii="宋体" w:hAnsi="宋体" w:cs="宋体"/>
                <w:sz w:val="24"/>
              </w:rPr>
            </w:pPr>
            <w:r>
              <w:rPr>
                <w:rFonts w:hint="eastAsia" w:ascii="宋体" w:hAnsi="宋体" w:cs="宋体"/>
                <w:sz w:val="24"/>
              </w:rPr>
              <w:t>1804.42</w:t>
            </w:r>
          </w:p>
        </w:tc>
        <w:tc>
          <w:tcPr>
            <w:tcW w:w="2268" w:type="dxa"/>
            <w:vAlign w:val="center"/>
          </w:tcPr>
          <w:p>
            <w:pPr>
              <w:widowControl/>
              <w:jc w:val="center"/>
              <w:rPr>
                <w:rFonts w:ascii="宋体" w:hAnsi="宋体" w:cs="宋体"/>
                <w:sz w:val="24"/>
              </w:rPr>
            </w:pPr>
            <w:r>
              <w:rPr>
                <w:rFonts w:hint="eastAsia" w:ascii="宋体" w:hAnsi="宋体" w:cs="宋体"/>
                <w:sz w:val="24"/>
              </w:rPr>
              <w:t>96.38%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非税返还项目</w:t>
            </w:r>
          </w:p>
        </w:tc>
        <w:tc>
          <w:tcPr>
            <w:tcW w:w="2268" w:type="dxa"/>
            <w:vAlign w:val="center"/>
          </w:tcPr>
          <w:p>
            <w:pPr>
              <w:widowControl/>
              <w:jc w:val="center"/>
              <w:rPr>
                <w:rFonts w:ascii="宋体" w:hAnsi="宋体" w:cs="宋体"/>
                <w:kern w:val="0"/>
                <w:sz w:val="24"/>
              </w:rPr>
            </w:pPr>
            <w:r>
              <w:rPr>
                <w:rFonts w:hint="eastAsia" w:ascii="宋体" w:hAnsi="宋体" w:cs="宋体"/>
                <w:sz w:val="24"/>
              </w:rPr>
              <w:t>200</w:t>
            </w:r>
          </w:p>
        </w:tc>
        <w:tc>
          <w:tcPr>
            <w:tcW w:w="2268" w:type="dxa"/>
            <w:vAlign w:val="center"/>
          </w:tcPr>
          <w:p>
            <w:pPr>
              <w:widowControl/>
              <w:jc w:val="center"/>
              <w:rPr>
                <w:rFonts w:ascii="宋体" w:hAnsi="宋体" w:cs="宋体"/>
                <w:sz w:val="24"/>
              </w:rPr>
            </w:pPr>
            <w:r>
              <w:rPr>
                <w:rFonts w:hint="eastAsia" w:ascii="宋体" w:hAnsi="宋体" w:cs="宋体"/>
                <w:sz w:val="24"/>
              </w:rPr>
              <w:t>528.35</w:t>
            </w:r>
          </w:p>
        </w:tc>
        <w:tc>
          <w:tcPr>
            <w:tcW w:w="2268" w:type="dxa"/>
            <w:vAlign w:val="center"/>
          </w:tcPr>
          <w:p>
            <w:pPr>
              <w:widowControl/>
              <w:jc w:val="center"/>
              <w:rPr>
                <w:rFonts w:ascii="宋体" w:hAnsi="宋体" w:cs="宋体"/>
                <w:sz w:val="24"/>
              </w:rPr>
            </w:pPr>
            <w:r>
              <w:rPr>
                <w:rFonts w:hint="eastAsia" w:ascii="宋体" w:hAnsi="宋体" w:cs="宋体"/>
                <w:sz w:val="24"/>
              </w:rPr>
              <w:t>728.35</w:t>
            </w:r>
          </w:p>
        </w:tc>
        <w:tc>
          <w:tcPr>
            <w:tcW w:w="2268" w:type="dxa"/>
            <w:vAlign w:val="center"/>
          </w:tcPr>
          <w:p>
            <w:pPr>
              <w:widowControl/>
              <w:jc w:val="center"/>
              <w:rPr>
                <w:rFonts w:ascii="宋体" w:hAnsi="宋体" w:cs="宋体"/>
                <w:sz w:val="24"/>
              </w:rPr>
            </w:pPr>
            <w:r>
              <w:rPr>
                <w:rFonts w:hint="eastAsia" w:ascii="宋体" w:hAnsi="宋体" w:cs="宋体"/>
                <w:sz w:val="24"/>
              </w:rPr>
              <w:t>728.35</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公务出国（境）费</w:t>
            </w:r>
          </w:p>
        </w:tc>
        <w:tc>
          <w:tcPr>
            <w:tcW w:w="2268" w:type="dxa"/>
            <w:vAlign w:val="center"/>
          </w:tcPr>
          <w:p>
            <w:pPr>
              <w:widowControl/>
              <w:jc w:val="center"/>
              <w:rPr>
                <w:rFonts w:ascii="宋体" w:hAnsi="宋体" w:cs="宋体"/>
                <w:kern w:val="0"/>
                <w:sz w:val="24"/>
              </w:rPr>
            </w:pPr>
            <w:r>
              <w:rPr>
                <w:rFonts w:hint="eastAsia" w:ascii="宋体" w:hAnsi="宋体" w:cs="宋体"/>
                <w:sz w:val="24"/>
              </w:rPr>
              <w:t>20</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20</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伙食经费</w:t>
            </w:r>
          </w:p>
        </w:tc>
        <w:tc>
          <w:tcPr>
            <w:tcW w:w="2268" w:type="dxa"/>
            <w:vAlign w:val="center"/>
          </w:tcPr>
          <w:p>
            <w:pPr>
              <w:widowControl/>
              <w:jc w:val="center"/>
              <w:rPr>
                <w:rFonts w:ascii="宋体" w:hAnsi="宋体" w:cs="宋体"/>
                <w:kern w:val="0"/>
                <w:sz w:val="24"/>
              </w:rPr>
            </w:pPr>
            <w:r>
              <w:rPr>
                <w:rFonts w:hint="eastAsia" w:ascii="宋体" w:hAnsi="宋体" w:cs="宋体"/>
                <w:sz w:val="24"/>
              </w:rPr>
              <w:t>82.83</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82.83</w:t>
            </w:r>
          </w:p>
        </w:tc>
        <w:tc>
          <w:tcPr>
            <w:tcW w:w="2268" w:type="dxa"/>
            <w:vAlign w:val="center"/>
          </w:tcPr>
          <w:p>
            <w:pPr>
              <w:widowControl/>
              <w:jc w:val="center"/>
              <w:rPr>
                <w:rFonts w:ascii="宋体" w:hAnsi="宋体" w:cs="宋体"/>
                <w:sz w:val="24"/>
              </w:rPr>
            </w:pPr>
            <w:r>
              <w:rPr>
                <w:rFonts w:hint="eastAsia" w:ascii="宋体" w:hAnsi="宋体" w:cs="宋体"/>
                <w:sz w:val="24"/>
              </w:rPr>
              <w:t>82.83</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专项租赁费</w:t>
            </w:r>
          </w:p>
        </w:tc>
        <w:tc>
          <w:tcPr>
            <w:tcW w:w="2268" w:type="dxa"/>
            <w:vAlign w:val="center"/>
          </w:tcPr>
          <w:p>
            <w:pPr>
              <w:widowControl/>
              <w:jc w:val="center"/>
              <w:rPr>
                <w:rFonts w:ascii="宋体" w:hAnsi="宋体" w:cs="宋体"/>
                <w:kern w:val="0"/>
                <w:sz w:val="24"/>
              </w:rPr>
            </w:pPr>
            <w:r>
              <w:rPr>
                <w:rFonts w:hint="eastAsia" w:ascii="宋体" w:hAnsi="宋体" w:cs="宋体"/>
                <w:sz w:val="24"/>
              </w:rPr>
              <w:t>46.94</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46.94</w:t>
            </w:r>
          </w:p>
        </w:tc>
        <w:tc>
          <w:tcPr>
            <w:tcW w:w="2268" w:type="dxa"/>
            <w:vAlign w:val="center"/>
          </w:tcPr>
          <w:p>
            <w:pPr>
              <w:widowControl/>
              <w:jc w:val="center"/>
              <w:rPr>
                <w:rFonts w:ascii="宋体" w:hAnsi="宋体" w:cs="宋体"/>
                <w:sz w:val="24"/>
              </w:rPr>
            </w:pPr>
            <w:r>
              <w:rPr>
                <w:rFonts w:hint="eastAsia" w:ascii="宋体" w:hAnsi="宋体" w:cs="宋体"/>
                <w:sz w:val="24"/>
              </w:rPr>
              <w:t>46.94</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科研基金</w:t>
            </w:r>
          </w:p>
        </w:tc>
        <w:tc>
          <w:tcPr>
            <w:tcW w:w="2268" w:type="dxa"/>
            <w:vAlign w:val="center"/>
          </w:tcPr>
          <w:p>
            <w:pPr>
              <w:widowControl/>
              <w:jc w:val="center"/>
              <w:rPr>
                <w:rFonts w:ascii="宋体" w:hAnsi="宋体" w:cs="宋体"/>
                <w:kern w:val="0"/>
                <w:sz w:val="24"/>
              </w:rPr>
            </w:pPr>
            <w:r>
              <w:rPr>
                <w:rFonts w:hint="eastAsia" w:ascii="宋体" w:hAnsi="宋体" w:cs="宋体"/>
                <w:sz w:val="24"/>
              </w:rPr>
              <w:t>242</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242</w:t>
            </w:r>
          </w:p>
        </w:tc>
        <w:tc>
          <w:tcPr>
            <w:tcW w:w="2268" w:type="dxa"/>
            <w:vAlign w:val="center"/>
          </w:tcPr>
          <w:p>
            <w:pPr>
              <w:widowControl/>
              <w:jc w:val="center"/>
              <w:rPr>
                <w:rFonts w:ascii="宋体" w:hAnsi="宋体" w:cs="宋体"/>
                <w:sz w:val="24"/>
              </w:rPr>
            </w:pPr>
            <w:r>
              <w:rPr>
                <w:rFonts w:hint="eastAsia" w:ascii="宋体" w:hAnsi="宋体" w:cs="宋体"/>
                <w:sz w:val="24"/>
              </w:rPr>
              <w:t>242</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生产经费</w:t>
            </w:r>
          </w:p>
        </w:tc>
        <w:tc>
          <w:tcPr>
            <w:tcW w:w="2268" w:type="dxa"/>
            <w:vAlign w:val="center"/>
          </w:tcPr>
          <w:p>
            <w:pPr>
              <w:widowControl/>
              <w:jc w:val="center"/>
              <w:rPr>
                <w:rFonts w:ascii="宋体" w:hAnsi="宋体" w:cs="宋体"/>
                <w:kern w:val="0"/>
                <w:sz w:val="24"/>
              </w:rPr>
            </w:pPr>
            <w:r>
              <w:rPr>
                <w:rFonts w:hint="eastAsia" w:ascii="宋体" w:hAnsi="宋体" w:cs="宋体"/>
                <w:sz w:val="24"/>
              </w:rPr>
              <w:t>39</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39</w:t>
            </w:r>
          </w:p>
        </w:tc>
        <w:tc>
          <w:tcPr>
            <w:tcW w:w="2268" w:type="dxa"/>
            <w:vAlign w:val="center"/>
          </w:tcPr>
          <w:p>
            <w:pPr>
              <w:widowControl/>
              <w:jc w:val="center"/>
              <w:rPr>
                <w:rFonts w:ascii="宋体" w:hAnsi="宋体" w:cs="宋体"/>
                <w:sz w:val="24"/>
              </w:rPr>
            </w:pPr>
            <w:r>
              <w:rPr>
                <w:rFonts w:hint="eastAsia" w:ascii="宋体" w:hAnsi="宋体" w:cs="宋体"/>
                <w:sz w:val="24"/>
              </w:rPr>
              <w:t>39</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水电费</w:t>
            </w:r>
          </w:p>
        </w:tc>
        <w:tc>
          <w:tcPr>
            <w:tcW w:w="2268" w:type="dxa"/>
            <w:vAlign w:val="center"/>
          </w:tcPr>
          <w:p>
            <w:pPr>
              <w:widowControl/>
              <w:jc w:val="center"/>
              <w:rPr>
                <w:rFonts w:ascii="宋体" w:hAnsi="宋体" w:cs="宋体"/>
                <w:kern w:val="0"/>
                <w:sz w:val="24"/>
              </w:rPr>
            </w:pPr>
            <w:r>
              <w:rPr>
                <w:rFonts w:hint="eastAsia" w:ascii="宋体" w:hAnsi="宋体" w:cs="宋体"/>
                <w:sz w:val="24"/>
              </w:rPr>
              <w:t>53.77</w:t>
            </w:r>
          </w:p>
        </w:tc>
        <w:tc>
          <w:tcPr>
            <w:tcW w:w="2268" w:type="dxa"/>
            <w:vAlign w:val="center"/>
          </w:tcPr>
          <w:p>
            <w:pPr>
              <w:widowControl/>
              <w:jc w:val="center"/>
              <w:rPr>
                <w:rFonts w:ascii="宋体" w:hAnsi="宋体" w:cs="宋体"/>
                <w:sz w:val="24"/>
              </w:rPr>
            </w:pPr>
            <w:r>
              <w:rPr>
                <w:rFonts w:hint="eastAsia" w:ascii="宋体" w:hAnsi="宋体" w:cs="宋体"/>
                <w:sz w:val="24"/>
              </w:rPr>
              <w:t>25</w:t>
            </w:r>
          </w:p>
        </w:tc>
        <w:tc>
          <w:tcPr>
            <w:tcW w:w="2268" w:type="dxa"/>
            <w:vAlign w:val="center"/>
          </w:tcPr>
          <w:p>
            <w:pPr>
              <w:widowControl/>
              <w:jc w:val="center"/>
              <w:rPr>
                <w:rFonts w:ascii="宋体" w:hAnsi="宋体" w:cs="宋体"/>
                <w:sz w:val="24"/>
              </w:rPr>
            </w:pPr>
            <w:r>
              <w:rPr>
                <w:rFonts w:hint="eastAsia" w:ascii="宋体" w:hAnsi="宋体" w:cs="宋体"/>
                <w:sz w:val="24"/>
              </w:rPr>
              <w:t>78.77</w:t>
            </w:r>
          </w:p>
        </w:tc>
        <w:tc>
          <w:tcPr>
            <w:tcW w:w="2268" w:type="dxa"/>
            <w:vAlign w:val="center"/>
          </w:tcPr>
          <w:p>
            <w:pPr>
              <w:widowControl/>
              <w:jc w:val="center"/>
              <w:rPr>
                <w:rFonts w:ascii="宋体" w:hAnsi="宋体" w:cs="宋体"/>
                <w:sz w:val="24"/>
              </w:rPr>
            </w:pPr>
            <w:r>
              <w:rPr>
                <w:rFonts w:hint="eastAsia" w:ascii="宋体" w:hAnsi="宋体" w:cs="宋体"/>
                <w:sz w:val="24"/>
              </w:rPr>
              <w:t>68.6</w:t>
            </w:r>
          </w:p>
        </w:tc>
        <w:tc>
          <w:tcPr>
            <w:tcW w:w="2268" w:type="dxa"/>
            <w:vAlign w:val="center"/>
          </w:tcPr>
          <w:p>
            <w:pPr>
              <w:widowControl/>
              <w:jc w:val="center"/>
              <w:rPr>
                <w:rFonts w:ascii="宋体" w:hAnsi="宋体" w:cs="宋体"/>
                <w:sz w:val="24"/>
              </w:rPr>
            </w:pPr>
            <w:r>
              <w:rPr>
                <w:rFonts w:hint="eastAsia" w:ascii="宋体" w:hAnsi="宋体" w:cs="宋体"/>
                <w:sz w:val="24"/>
              </w:rPr>
              <w:t>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体检费</w:t>
            </w:r>
          </w:p>
        </w:tc>
        <w:tc>
          <w:tcPr>
            <w:tcW w:w="2268" w:type="dxa"/>
            <w:vAlign w:val="center"/>
          </w:tcPr>
          <w:p>
            <w:pPr>
              <w:widowControl/>
              <w:jc w:val="center"/>
              <w:rPr>
                <w:rFonts w:ascii="宋体" w:hAnsi="宋体" w:cs="宋体"/>
                <w:kern w:val="0"/>
                <w:sz w:val="24"/>
              </w:rPr>
            </w:pPr>
            <w:r>
              <w:rPr>
                <w:rFonts w:hint="eastAsia" w:ascii="宋体" w:hAnsi="宋体" w:cs="宋体"/>
                <w:sz w:val="24"/>
              </w:rPr>
              <w:t>54.26</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54.26</w:t>
            </w:r>
          </w:p>
        </w:tc>
        <w:tc>
          <w:tcPr>
            <w:tcW w:w="2268" w:type="dxa"/>
            <w:vAlign w:val="center"/>
          </w:tcPr>
          <w:p>
            <w:pPr>
              <w:widowControl/>
              <w:jc w:val="center"/>
              <w:rPr>
                <w:rFonts w:ascii="宋体" w:hAnsi="宋体" w:cs="宋体"/>
                <w:sz w:val="24"/>
              </w:rPr>
            </w:pPr>
            <w:r>
              <w:rPr>
                <w:rFonts w:hint="eastAsia" w:ascii="宋体" w:hAnsi="宋体" w:cs="宋体"/>
                <w:sz w:val="24"/>
              </w:rPr>
              <w:t>48.02</w:t>
            </w:r>
          </w:p>
        </w:tc>
        <w:tc>
          <w:tcPr>
            <w:tcW w:w="2268" w:type="dxa"/>
            <w:vAlign w:val="center"/>
          </w:tcPr>
          <w:p>
            <w:pPr>
              <w:widowControl/>
              <w:jc w:val="center"/>
              <w:rPr>
                <w:rFonts w:ascii="宋体" w:hAnsi="宋体" w:cs="宋体"/>
                <w:sz w:val="24"/>
              </w:rPr>
            </w:pPr>
            <w:r>
              <w:rPr>
                <w:rFonts w:hint="eastAsia" w:ascii="宋体" w:hAnsi="宋体" w:cs="宋体"/>
                <w:sz w:val="24"/>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委托业务费</w:t>
            </w:r>
          </w:p>
        </w:tc>
        <w:tc>
          <w:tcPr>
            <w:tcW w:w="2268" w:type="dxa"/>
            <w:vAlign w:val="center"/>
          </w:tcPr>
          <w:p>
            <w:pPr>
              <w:widowControl/>
              <w:jc w:val="center"/>
              <w:rPr>
                <w:rFonts w:ascii="宋体" w:hAnsi="宋体" w:cs="宋体"/>
                <w:kern w:val="0"/>
                <w:sz w:val="24"/>
              </w:rPr>
            </w:pPr>
            <w:r>
              <w:rPr>
                <w:rFonts w:hint="eastAsia" w:ascii="宋体" w:hAnsi="宋体" w:cs="宋体"/>
                <w:sz w:val="24"/>
              </w:rPr>
              <w:t>122.34</w:t>
            </w:r>
          </w:p>
        </w:tc>
        <w:tc>
          <w:tcPr>
            <w:tcW w:w="2268" w:type="dxa"/>
            <w:vAlign w:val="center"/>
          </w:tcPr>
          <w:p>
            <w:pPr>
              <w:widowControl/>
              <w:jc w:val="center"/>
              <w:rPr>
                <w:rFonts w:ascii="宋体" w:hAnsi="宋体" w:cs="宋体"/>
                <w:sz w:val="24"/>
              </w:rPr>
            </w:pPr>
            <w:r>
              <w:rPr>
                <w:rFonts w:hint="eastAsia" w:ascii="宋体" w:hAnsi="宋体" w:cs="宋体"/>
                <w:sz w:val="24"/>
              </w:rPr>
              <w:t>-5.64</w:t>
            </w:r>
          </w:p>
        </w:tc>
        <w:tc>
          <w:tcPr>
            <w:tcW w:w="2268" w:type="dxa"/>
            <w:vAlign w:val="center"/>
          </w:tcPr>
          <w:p>
            <w:pPr>
              <w:widowControl/>
              <w:jc w:val="center"/>
              <w:rPr>
                <w:rFonts w:ascii="宋体" w:hAnsi="宋体" w:cs="宋体"/>
                <w:sz w:val="24"/>
              </w:rPr>
            </w:pPr>
            <w:r>
              <w:rPr>
                <w:rFonts w:hint="eastAsia" w:ascii="宋体" w:hAnsi="宋体" w:cs="宋体"/>
                <w:sz w:val="24"/>
              </w:rPr>
              <w:t>116.7</w:t>
            </w:r>
          </w:p>
        </w:tc>
        <w:tc>
          <w:tcPr>
            <w:tcW w:w="2268" w:type="dxa"/>
            <w:vAlign w:val="center"/>
          </w:tcPr>
          <w:p>
            <w:pPr>
              <w:widowControl/>
              <w:jc w:val="center"/>
              <w:rPr>
                <w:rFonts w:ascii="宋体" w:hAnsi="宋体" w:cs="宋体"/>
                <w:sz w:val="24"/>
              </w:rPr>
            </w:pPr>
            <w:r>
              <w:rPr>
                <w:rFonts w:hint="eastAsia" w:ascii="宋体" w:hAnsi="宋体" w:cs="宋体"/>
                <w:sz w:val="24"/>
              </w:rPr>
              <w:t>94.22</w:t>
            </w:r>
          </w:p>
        </w:tc>
        <w:tc>
          <w:tcPr>
            <w:tcW w:w="2268" w:type="dxa"/>
            <w:vAlign w:val="center"/>
          </w:tcPr>
          <w:p>
            <w:pPr>
              <w:widowControl/>
              <w:jc w:val="center"/>
              <w:rPr>
                <w:rFonts w:ascii="宋体" w:hAnsi="宋体" w:cs="宋体"/>
                <w:sz w:val="24"/>
              </w:rPr>
            </w:pPr>
            <w:r>
              <w:rPr>
                <w:rFonts w:hint="eastAsia" w:ascii="宋体" w:hAnsi="宋体" w:cs="宋体"/>
                <w:sz w:val="24"/>
              </w:rPr>
              <w:t>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物业管理费</w:t>
            </w:r>
          </w:p>
        </w:tc>
        <w:tc>
          <w:tcPr>
            <w:tcW w:w="2268" w:type="dxa"/>
            <w:vAlign w:val="center"/>
          </w:tcPr>
          <w:p>
            <w:pPr>
              <w:widowControl/>
              <w:jc w:val="center"/>
              <w:rPr>
                <w:rFonts w:ascii="宋体" w:hAnsi="宋体" w:cs="宋体"/>
                <w:kern w:val="0"/>
                <w:sz w:val="24"/>
              </w:rPr>
            </w:pPr>
            <w:r>
              <w:rPr>
                <w:rFonts w:hint="eastAsia" w:ascii="宋体" w:hAnsi="宋体" w:cs="宋体"/>
                <w:sz w:val="24"/>
              </w:rPr>
              <w:t>218</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218</w:t>
            </w:r>
          </w:p>
        </w:tc>
        <w:tc>
          <w:tcPr>
            <w:tcW w:w="2268" w:type="dxa"/>
            <w:vAlign w:val="center"/>
          </w:tcPr>
          <w:p>
            <w:pPr>
              <w:widowControl/>
              <w:jc w:val="center"/>
              <w:rPr>
                <w:rFonts w:ascii="宋体" w:hAnsi="宋体" w:cs="宋体"/>
                <w:sz w:val="24"/>
              </w:rPr>
            </w:pPr>
            <w:r>
              <w:rPr>
                <w:rFonts w:hint="eastAsia" w:ascii="宋体" w:hAnsi="宋体" w:cs="宋体"/>
                <w:sz w:val="24"/>
              </w:rPr>
              <w:t>212.24</w:t>
            </w:r>
          </w:p>
        </w:tc>
        <w:tc>
          <w:tcPr>
            <w:tcW w:w="2268" w:type="dxa"/>
            <w:vAlign w:val="center"/>
          </w:tcPr>
          <w:p>
            <w:pPr>
              <w:widowControl/>
              <w:jc w:val="center"/>
              <w:rPr>
                <w:rFonts w:ascii="宋体" w:hAnsi="宋体" w:cs="宋体"/>
                <w:sz w:val="24"/>
              </w:rPr>
            </w:pPr>
            <w:r>
              <w:rPr>
                <w:rFonts w:hint="eastAsia" w:ascii="宋体" w:hAnsi="宋体" w:cs="宋体"/>
                <w:sz w:val="24"/>
              </w:rPr>
              <w:t>97.36%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行政诉讼费</w:t>
            </w:r>
          </w:p>
        </w:tc>
        <w:tc>
          <w:tcPr>
            <w:tcW w:w="2268" w:type="dxa"/>
            <w:vAlign w:val="center"/>
          </w:tcPr>
          <w:p>
            <w:pPr>
              <w:widowControl/>
              <w:jc w:val="center"/>
              <w:rPr>
                <w:rFonts w:ascii="宋体" w:hAnsi="宋体" w:cs="宋体"/>
                <w:kern w:val="0"/>
                <w:sz w:val="24"/>
              </w:rPr>
            </w:pPr>
            <w:r>
              <w:rPr>
                <w:rFonts w:hint="eastAsia" w:ascii="宋体" w:hAnsi="宋体" w:cs="宋体"/>
                <w:sz w:val="24"/>
              </w:rPr>
              <w:t>5</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5</w:t>
            </w:r>
          </w:p>
        </w:tc>
        <w:tc>
          <w:tcPr>
            <w:tcW w:w="2268" w:type="dxa"/>
            <w:vAlign w:val="center"/>
          </w:tcPr>
          <w:p>
            <w:pPr>
              <w:widowControl/>
              <w:jc w:val="center"/>
              <w:rPr>
                <w:rFonts w:ascii="宋体" w:hAnsi="宋体" w:cs="宋体"/>
                <w:sz w:val="24"/>
              </w:rPr>
            </w:pPr>
            <w:r>
              <w:rPr>
                <w:rFonts w:hint="eastAsia" w:ascii="宋体" w:hAnsi="宋体" w:cs="宋体"/>
                <w:sz w:val="24"/>
              </w:rPr>
              <w:t>3</w:t>
            </w:r>
          </w:p>
        </w:tc>
        <w:tc>
          <w:tcPr>
            <w:tcW w:w="2268" w:type="dxa"/>
            <w:vAlign w:val="center"/>
          </w:tcPr>
          <w:p>
            <w:pPr>
              <w:widowControl/>
              <w:jc w:val="center"/>
              <w:rPr>
                <w:rFonts w:ascii="宋体" w:hAnsi="宋体" w:cs="宋体"/>
                <w:sz w:val="24"/>
              </w:rPr>
            </w:pPr>
            <w:r>
              <w:rPr>
                <w:rFonts w:hint="eastAsia" w:ascii="宋体" w:hAnsi="宋体" w:cs="宋体"/>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专项培训费</w:t>
            </w:r>
          </w:p>
        </w:tc>
        <w:tc>
          <w:tcPr>
            <w:tcW w:w="2268" w:type="dxa"/>
            <w:vAlign w:val="center"/>
          </w:tcPr>
          <w:p>
            <w:pPr>
              <w:widowControl/>
              <w:jc w:val="center"/>
              <w:rPr>
                <w:rFonts w:ascii="宋体" w:hAnsi="宋体" w:cs="宋体"/>
                <w:kern w:val="0"/>
                <w:sz w:val="24"/>
              </w:rPr>
            </w:pPr>
            <w:r>
              <w:rPr>
                <w:rFonts w:hint="eastAsia" w:ascii="宋体" w:hAnsi="宋体" w:cs="宋体"/>
                <w:sz w:val="24"/>
              </w:rPr>
              <w:t>13.5</w:t>
            </w:r>
          </w:p>
        </w:tc>
        <w:tc>
          <w:tcPr>
            <w:tcW w:w="2268" w:type="dxa"/>
            <w:vAlign w:val="center"/>
          </w:tcPr>
          <w:p>
            <w:pPr>
              <w:widowControl/>
              <w:jc w:val="center"/>
              <w:rPr>
                <w:rFonts w:ascii="宋体" w:hAnsi="宋体" w:cs="宋体"/>
                <w:sz w:val="24"/>
              </w:rPr>
            </w:pPr>
            <w:r>
              <w:rPr>
                <w:rFonts w:hint="eastAsia" w:ascii="宋体" w:hAnsi="宋体" w:cs="宋体"/>
                <w:sz w:val="24"/>
              </w:rPr>
              <w:t>-2.7</w:t>
            </w:r>
          </w:p>
        </w:tc>
        <w:tc>
          <w:tcPr>
            <w:tcW w:w="2268" w:type="dxa"/>
            <w:vAlign w:val="center"/>
          </w:tcPr>
          <w:p>
            <w:pPr>
              <w:widowControl/>
              <w:jc w:val="center"/>
              <w:rPr>
                <w:rFonts w:ascii="宋体" w:hAnsi="宋体" w:cs="宋体"/>
                <w:sz w:val="24"/>
              </w:rPr>
            </w:pPr>
            <w:r>
              <w:rPr>
                <w:rFonts w:hint="eastAsia" w:ascii="宋体" w:hAnsi="宋体" w:cs="宋体"/>
                <w:sz w:val="24"/>
              </w:rPr>
              <w:t>10.8</w:t>
            </w:r>
          </w:p>
        </w:tc>
        <w:tc>
          <w:tcPr>
            <w:tcW w:w="2268" w:type="dxa"/>
            <w:vAlign w:val="center"/>
          </w:tcPr>
          <w:p>
            <w:pPr>
              <w:widowControl/>
              <w:jc w:val="center"/>
              <w:rPr>
                <w:rFonts w:ascii="宋体" w:hAnsi="宋体" w:cs="宋体"/>
                <w:sz w:val="24"/>
              </w:rPr>
            </w:pPr>
            <w:r>
              <w:rPr>
                <w:rFonts w:hint="eastAsia" w:ascii="宋体" w:hAnsi="宋体" w:cs="宋体"/>
                <w:sz w:val="24"/>
              </w:rPr>
              <w:t>10.8</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党团活动经费</w:t>
            </w:r>
          </w:p>
        </w:tc>
        <w:tc>
          <w:tcPr>
            <w:tcW w:w="2268" w:type="dxa"/>
            <w:vAlign w:val="center"/>
          </w:tcPr>
          <w:p>
            <w:pPr>
              <w:widowControl/>
              <w:jc w:val="center"/>
              <w:rPr>
                <w:rFonts w:ascii="宋体" w:hAnsi="宋体" w:cs="宋体"/>
                <w:kern w:val="0"/>
                <w:sz w:val="24"/>
              </w:rPr>
            </w:pPr>
            <w:r>
              <w:rPr>
                <w:rFonts w:hint="eastAsia" w:ascii="宋体" w:hAnsi="宋体" w:cs="宋体"/>
                <w:sz w:val="24"/>
              </w:rPr>
              <w:t>10</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10</w:t>
            </w:r>
          </w:p>
        </w:tc>
        <w:tc>
          <w:tcPr>
            <w:tcW w:w="2268" w:type="dxa"/>
            <w:vAlign w:val="center"/>
          </w:tcPr>
          <w:p>
            <w:pPr>
              <w:widowControl/>
              <w:jc w:val="center"/>
              <w:rPr>
                <w:rFonts w:ascii="宋体" w:hAnsi="宋体" w:cs="宋体"/>
                <w:sz w:val="24"/>
              </w:rPr>
            </w:pPr>
            <w:r>
              <w:rPr>
                <w:rFonts w:hint="eastAsia" w:ascii="宋体" w:hAnsi="宋体" w:cs="宋体"/>
                <w:sz w:val="24"/>
              </w:rPr>
              <w:t>9.99</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大型修缮费用</w:t>
            </w:r>
          </w:p>
        </w:tc>
        <w:tc>
          <w:tcPr>
            <w:tcW w:w="2268" w:type="dxa"/>
            <w:vAlign w:val="center"/>
          </w:tcPr>
          <w:p>
            <w:pPr>
              <w:widowControl/>
              <w:jc w:val="center"/>
              <w:rPr>
                <w:rFonts w:ascii="宋体" w:hAnsi="宋体" w:cs="宋体"/>
                <w:kern w:val="0"/>
                <w:sz w:val="24"/>
              </w:rPr>
            </w:pPr>
            <w:r>
              <w:rPr>
                <w:rFonts w:hint="eastAsia" w:ascii="宋体" w:hAnsi="宋体" w:cs="宋体"/>
                <w:sz w:val="24"/>
              </w:rPr>
              <w:t>56</w:t>
            </w:r>
          </w:p>
        </w:tc>
        <w:tc>
          <w:tcPr>
            <w:tcW w:w="2268" w:type="dxa"/>
            <w:vAlign w:val="center"/>
          </w:tcPr>
          <w:p>
            <w:pPr>
              <w:widowControl/>
              <w:jc w:val="center"/>
              <w:rPr>
                <w:rFonts w:ascii="宋体" w:hAnsi="宋体" w:cs="宋体"/>
                <w:sz w:val="24"/>
              </w:rPr>
            </w:pPr>
            <w:r>
              <w:rPr>
                <w:rFonts w:hint="eastAsia" w:ascii="宋体" w:hAnsi="宋体" w:cs="宋体"/>
                <w:sz w:val="24"/>
              </w:rPr>
              <w:t>-40</w:t>
            </w:r>
          </w:p>
        </w:tc>
        <w:tc>
          <w:tcPr>
            <w:tcW w:w="2268" w:type="dxa"/>
            <w:vAlign w:val="center"/>
          </w:tcPr>
          <w:p>
            <w:pPr>
              <w:widowControl/>
              <w:jc w:val="center"/>
              <w:rPr>
                <w:rFonts w:ascii="宋体" w:hAnsi="宋体" w:cs="宋体"/>
                <w:sz w:val="24"/>
              </w:rPr>
            </w:pPr>
            <w:r>
              <w:rPr>
                <w:rFonts w:hint="eastAsia" w:ascii="宋体" w:hAnsi="宋体" w:cs="宋体"/>
                <w:sz w:val="24"/>
              </w:rPr>
              <w:t>16</w:t>
            </w:r>
          </w:p>
        </w:tc>
        <w:tc>
          <w:tcPr>
            <w:tcW w:w="2268" w:type="dxa"/>
            <w:vAlign w:val="center"/>
          </w:tcPr>
          <w:p>
            <w:pPr>
              <w:widowControl/>
              <w:jc w:val="center"/>
              <w:rPr>
                <w:rFonts w:ascii="宋体" w:hAnsi="宋体" w:cs="宋体"/>
                <w:sz w:val="24"/>
              </w:rPr>
            </w:pPr>
            <w:r>
              <w:rPr>
                <w:rFonts w:hint="eastAsia" w:ascii="宋体" w:hAnsi="宋体" w:cs="宋体"/>
                <w:sz w:val="24"/>
              </w:rPr>
              <w:t>15.4</w:t>
            </w:r>
          </w:p>
        </w:tc>
        <w:tc>
          <w:tcPr>
            <w:tcW w:w="2268" w:type="dxa"/>
            <w:vAlign w:val="center"/>
          </w:tcPr>
          <w:p>
            <w:pPr>
              <w:widowControl/>
              <w:jc w:val="center"/>
              <w:rPr>
                <w:rFonts w:ascii="宋体" w:hAnsi="宋体" w:cs="宋体"/>
                <w:sz w:val="24"/>
              </w:rPr>
            </w:pPr>
            <w:r>
              <w:rPr>
                <w:rFonts w:hint="eastAsia" w:ascii="宋体" w:hAnsi="宋体" w:cs="宋体"/>
                <w:sz w:val="24"/>
              </w:rPr>
              <w:t>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办公设备购置</w:t>
            </w:r>
          </w:p>
        </w:tc>
        <w:tc>
          <w:tcPr>
            <w:tcW w:w="2268" w:type="dxa"/>
            <w:vAlign w:val="center"/>
          </w:tcPr>
          <w:p>
            <w:pPr>
              <w:widowControl/>
              <w:jc w:val="center"/>
              <w:rPr>
                <w:rFonts w:ascii="宋体" w:hAnsi="宋体" w:cs="宋体"/>
                <w:kern w:val="0"/>
                <w:sz w:val="24"/>
              </w:rPr>
            </w:pPr>
            <w:r>
              <w:rPr>
                <w:rFonts w:hint="eastAsia" w:ascii="宋体" w:hAnsi="宋体" w:cs="宋体"/>
                <w:sz w:val="24"/>
              </w:rPr>
              <w:t>20</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20</w:t>
            </w:r>
          </w:p>
        </w:tc>
        <w:tc>
          <w:tcPr>
            <w:tcW w:w="2268" w:type="dxa"/>
            <w:vAlign w:val="center"/>
          </w:tcPr>
          <w:p>
            <w:pPr>
              <w:widowControl/>
              <w:jc w:val="center"/>
              <w:rPr>
                <w:rFonts w:ascii="宋体" w:hAnsi="宋体" w:cs="宋体"/>
                <w:sz w:val="24"/>
              </w:rPr>
            </w:pPr>
            <w:r>
              <w:rPr>
                <w:rFonts w:hint="eastAsia" w:ascii="宋体" w:hAnsi="宋体" w:cs="宋体"/>
                <w:sz w:val="24"/>
              </w:rPr>
              <w:t>19.99</w:t>
            </w:r>
          </w:p>
        </w:tc>
        <w:tc>
          <w:tcPr>
            <w:tcW w:w="2268" w:type="dxa"/>
            <w:vAlign w:val="center"/>
          </w:tcPr>
          <w:p>
            <w:pPr>
              <w:widowControl/>
              <w:jc w:val="center"/>
              <w:rPr>
                <w:rFonts w:ascii="宋体" w:hAnsi="宋体" w:cs="宋体"/>
                <w:sz w:val="24"/>
              </w:rPr>
            </w:pPr>
            <w:r>
              <w:rPr>
                <w:rFonts w:hint="eastAsia" w:ascii="宋体" w:hAnsi="宋体" w:cs="宋体"/>
                <w:sz w:val="24"/>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widowControl/>
              <w:jc w:val="left"/>
              <w:rPr>
                <w:rFonts w:ascii="宋体" w:hAnsi="宋体" w:cs="宋体"/>
                <w:kern w:val="0"/>
                <w:sz w:val="24"/>
              </w:rPr>
            </w:pPr>
            <w:r>
              <w:rPr>
                <w:rFonts w:hint="eastAsia" w:ascii="宋体" w:hAnsi="宋体" w:cs="宋体"/>
                <w:sz w:val="24"/>
              </w:rPr>
              <w:t>基地用工</w:t>
            </w:r>
          </w:p>
        </w:tc>
        <w:tc>
          <w:tcPr>
            <w:tcW w:w="2268" w:type="dxa"/>
            <w:vAlign w:val="center"/>
          </w:tcPr>
          <w:p>
            <w:pPr>
              <w:widowControl/>
              <w:jc w:val="center"/>
              <w:rPr>
                <w:rFonts w:ascii="宋体" w:hAnsi="宋体" w:cs="宋体"/>
                <w:kern w:val="0"/>
                <w:sz w:val="24"/>
              </w:rPr>
            </w:pPr>
            <w:r>
              <w:rPr>
                <w:rFonts w:hint="eastAsia" w:ascii="宋体" w:hAnsi="宋体" w:cs="宋体"/>
                <w:sz w:val="24"/>
              </w:rPr>
              <w:t>183.5</w:t>
            </w:r>
          </w:p>
        </w:tc>
        <w:tc>
          <w:tcPr>
            <w:tcW w:w="2268" w:type="dxa"/>
            <w:vAlign w:val="center"/>
          </w:tcPr>
          <w:p>
            <w:pPr>
              <w:widowControl/>
              <w:jc w:val="center"/>
              <w:rPr>
                <w:rFonts w:ascii="宋体" w:hAnsi="宋体" w:cs="宋体"/>
                <w:sz w:val="24"/>
              </w:rPr>
            </w:pPr>
          </w:p>
        </w:tc>
        <w:tc>
          <w:tcPr>
            <w:tcW w:w="2268" w:type="dxa"/>
            <w:vAlign w:val="center"/>
          </w:tcPr>
          <w:p>
            <w:pPr>
              <w:widowControl/>
              <w:jc w:val="center"/>
              <w:rPr>
                <w:rFonts w:ascii="宋体" w:hAnsi="宋体" w:cs="宋体"/>
                <w:sz w:val="24"/>
              </w:rPr>
            </w:pPr>
            <w:r>
              <w:rPr>
                <w:rFonts w:hint="eastAsia" w:ascii="宋体" w:hAnsi="宋体" w:cs="宋体"/>
                <w:sz w:val="24"/>
              </w:rPr>
              <w:t>183.5</w:t>
            </w:r>
          </w:p>
        </w:tc>
        <w:tc>
          <w:tcPr>
            <w:tcW w:w="2268" w:type="dxa"/>
            <w:vAlign w:val="center"/>
          </w:tcPr>
          <w:p>
            <w:pPr>
              <w:widowControl/>
              <w:jc w:val="center"/>
              <w:rPr>
                <w:rFonts w:ascii="宋体" w:hAnsi="宋体" w:cs="宋体"/>
                <w:sz w:val="24"/>
              </w:rPr>
            </w:pPr>
            <w:r>
              <w:rPr>
                <w:rFonts w:hint="eastAsia" w:ascii="宋体" w:hAnsi="宋体" w:cs="宋体"/>
                <w:sz w:val="24"/>
              </w:rPr>
              <w:t>183.04</w:t>
            </w:r>
          </w:p>
        </w:tc>
        <w:tc>
          <w:tcPr>
            <w:tcW w:w="2268" w:type="dxa"/>
            <w:vAlign w:val="center"/>
          </w:tcPr>
          <w:p>
            <w:pPr>
              <w:widowControl/>
              <w:jc w:val="center"/>
              <w:rPr>
                <w:rFonts w:ascii="宋体" w:hAnsi="宋体" w:cs="宋体"/>
                <w:sz w:val="24"/>
              </w:rPr>
            </w:pPr>
            <w:r>
              <w:rPr>
                <w:rFonts w:hint="eastAsia" w:ascii="宋体" w:hAnsi="宋体" w:cs="宋体"/>
                <w:sz w:val="24"/>
              </w:rPr>
              <w:t>99.75%</w:t>
            </w:r>
          </w:p>
        </w:tc>
      </w:tr>
    </w:tbl>
    <w:p>
      <w:pPr>
        <w:spacing w:line="360" w:lineRule="auto"/>
        <w:ind w:left="600"/>
        <w:rPr>
          <w:rFonts w:ascii="黑体" w:hAnsi="黑体" w:eastAsia="黑体"/>
          <w:sz w:val="30"/>
        </w:rPr>
      </w:pPr>
    </w:p>
    <w:p>
      <w:pPr>
        <w:numPr>
          <w:ilvl w:val="0"/>
          <w:numId w:val="1"/>
        </w:numPr>
        <w:spacing w:line="360" w:lineRule="auto"/>
        <w:ind w:left="600"/>
        <w:rPr>
          <w:rFonts w:ascii="黑体" w:hAnsi="黑体" w:eastAsia="黑体"/>
          <w:sz w:val="30"/>
        </w:rPr>
      </w:pPr>
      <w:r>
        <w:rPr>
          <w:rFonts w:hint="eastAsia" w:ascii="黑体" w:hAnsi="黑体" w:eastAsia="黑体"/>
          <w:sz w:val="30"/>
        </w:rPr>
        <w:t>年度重点任务</w:t>
      </w:r>
    </w:p>
    <w:p>
      <w:pPr>
        <w:spacing w:line="360" w:lineRule="auto"/>
        <w:ind w:left="600"/>
        <w:rPr>
          <w:rFonts w:ascii="黑体" w:hAnsi="黑体" w:eastAsia="黑体"/>
          <w:sz w:val="30"/>
        </w:rPr>
      </w:pPr>
    </w:p>
    <w:tbl>
      <w:tblPr>
        <w:tblStyle w:val="5"/>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2693"/>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93" w:type="dxa"/>
            <w:shd w:val="clear" w:color="000000" w:fill="BFBFBF"/>
            <w:vAlign w:val="center"/>
          </w:tcPr>
          <w:p>
            <w:pPr>
              <w:widowControl/>
              <w:jc w:val="center"/>
              <w:rPr>
                <w:rFonts w:ascii="宋体" w:hAnsi="宋体" w:cs="宋体"/>
                <w:b/>
                <w:bCs/>
                <w:kern w:val="0"/>
                <w:sz w:val="24"/>
              </w:rPr>
            </w:pPr>
          </w:p>
          <w:p>
            <w:pPr>
              <w:widowControl/>
              <w:jc w:val="center"/>
              <w:rPr>
                <w:rFonts w:ascii="宋体" w:hAnsi="宋体" w:cs="宋体"/>
                <w:b/>
                <w:bCs/>
                <w:kern w:val="0"/>
                <w:sz w:val="24"/>
              </w:rPr>
            </w:pPr>
            <w:r>
              <w:rPr>
                <w:rFonts w:hint="eastAsia" w:ascii="宋体" w:hAnsi="宋体" w:cs="宋体"/>
                <w:b/>
                <w:bCs/>
                <w:kern w:val="0"/>
                <w:sz w:val="24"/>
              </w:rPr>
              <w:t>对应部门主要职责</w:t>
            </w:r>
          </w:p>
          <w:p>
            <w:pPr>
              <w:widowControl/>
              <w:jc w:val="center"/>
              <w:rPr>
                <w:rFonts w:ascii="宋体" w:hAnsi="宋体" w:cs="宋体"/>
                <w:b/>
                <w:bCs/>
                <w:kern w:val="0"/>
                <w:sz w:val="24"/>
              </w:rPr>
            </w:pPr>
          </w:p>
        </w:tc>
        <w:tc>
          <w:tcPr>
            <w:tcW w:w="1701"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任务名称</w:t>
            </w:r>
          </w:p>
        </w:tc>
        <w:tc>
          <w:tcPr>
            <w:tcW w:w="2693"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主要内容</w:t>
            </w:r>
          </w:p>
        </w:tc>
        <w:tc>
          <w:tcPr>
            <w:tcW w:w="7030" w:type="dxa"/>
            <w:shd w:val="clear" w:color="000000" w:fill="BFBFBF"/>
            <w:vAlign w:val="center"/>
          </w:tcPr>
          <w:p>
            <w:pPr>
              <w:widowControl/>
              <w:jc w:val="center"/>
              <w:rPr>
                <w:rFonts w:ascii="宋体" w:hAnsi="宋体" w:cs="宋体"/>
                <w:b/>
                <w:bCs/>
                <w:kern w:val="0"/>
                <w:sz w:val="24"/>
              </w:rPr>
            </w:pPr>
            <w:r>
              <w:rPr>
                <w:rFonts w:hint="eastAsia" w:ascii="宋体" w:hAnsi="宋体" w:cs="宋体"/>
                <w:b/>
                <w:bCs/>
                <w:kern w:val="0"/>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93" w:type="dxa"/>
            <w:vMerge w:val="restart"/>
            <w:vAlign w:val="center"/>
          </w:tcPr>
          <w:p>
            <w:pPr>
              <w:widowControl/>
              <w:jc w:val="center"/>
              <w:rPr>
                <w:rFonts w:ascii="宋体" w:hAnsi="宋体" w:cs="宋体"/>
                <w:kern w:val="0"/>
                <w:sz w:val="24"/>
              </w:rPr>
            </w:pPr>
            <w:r>
              <w:rPr>
                <w:rFonts w:hint="eastAsia" w:ascii="宋体" w:hAnsi="宋体" w:cs="宋体"/>
                <w:sz w:val="24"/>
              </w:rPr>
              <w:t>职能&lt;br&gt;1&lt;br&gt;：农业科研</w:t>
            </w:r>
          </w:p>
        </w:tc>
        <w:tc>
          <w:tcPr>
            <w:tcW w:w="1701" w:type="dxa"/>
            <w:vAlign w:val="center"/>
          </w:tcPr>
          <w:p>
            <w:pPr>
              <w:widowControl/>
              <w:jc w:val="center"/>
              <w:rPr>
                <w:rFonts w:ascii="宋体" w:hAnsi="宋体" w:cs="宋体"/>
                <w:sz w:val="24"/>
              </w:rPr>
            </w:pPr>
            <w:r>
              <w:rPr>
                <w:rFonts w:hint="eastAsia" w:ascii="宋体" w:hAnsi="宋体" w:cs="宋体"/>
                <w:sz w:val="24"/>
              </w:rPr>
              <w:t>成果产出培育</w:t>
            </w:r>
          </w:p>
        </w:tc>
        <w:tc>
          <w:tcPr>
            <w:tcW w:w="2693" w:type="dxa"/>
            <w:vAlign w:val="center"/>
          </w:tcPr>
          <w:p>
            <w:pPr>
              <w:widowControl/>
              <w:jc w:val="center"/>
              <w:rPr>
                <w:rFonts w:ascii="宋体" w:hAnsi="宋体" w:cs="宋体"/>
                <w:sz w:val="24"/>
              </w:rPr>
            </w:pPr>
            <w:r>
              <w:rPr>
                <w:rFonts w:hint="eastAsia" w:ascii="宋体" w:hAnsi="宋体" w:cs="宋体"/>
                <w:sz w:val="24"/>
              </w:rPr>
              <w:t>科研基金,非税返还项目</w:t>
            </w:r>
          </w:p>
        </w:tc>
        <w:tc>
          <w:tcPr>
            <w:tcW w:w="7030" w:type="dxa"/>
            <w:vAlign w:val="center"/>
          </w:tcPr>
          <w:p>
            <w:pPr>
              <w:widowControl/>
              <w:jc w:val="center"/>
              <w:rPr>
                <w:rFonts w:ascii="宋体" w:hAnsi="宋体" w:cs="宋体"/>
                <w:sz w:val="24"/>
              </w:rPr>
            </w:pPr>
            <w:r>
              <w:rPr>
                <w:rFonts w:hint="eastAsia" w:ascii="宋体" w:hAnsi="宋体" w:cs="宋体"/>
                <w:sz w:val="24"/>
              </w:rPr>
              <w:t>新上省级以上项目立项数3项，完成研究报告10份，形成自主知识产权的新品种、新技术模式2个，在国内外核心期刊发表论文10篇，申请发明专利数5个，制定技术规程2项，新品种、新技术在苏州各县区示范应用，累计10万亩次，成果转化或技术服务收益50万元，所有项目严格按照项目合同所规定的内容和时间进度执行，按时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93" w:type="dxa"/>
            <w:vMerge w:val="continue"/>
            <w:vAlign w:val="center"/>
          </w:tcPr>
          <w:p>
            <w:pPr>
              <w:widowControl/>
              <w:jc w:val="center"/>
              <w:rPr>
                <w:rFonts w:ascii="宋体" w:hAnsi="宋体" w:cs="宋体"/>
                <w:kern w:val="0"/>
                <w:sz w:val="24"/>
              </w:rPr>
            </w:pPr>
          </w:p>
        </w:tc>
        <w:tc>
          <w:tcPr>
            <w:tcW w:w="1701" w:type="dxa"/>
            <w:vAlign w:val="center"/>
          </w:tcPr>
          <w:p>
            <w:pPr>
              <w:widowControl/>
              <w:jc w:val="center"/>
              <w:rPr>
                <w:rFonts w:ascii="宋体" w:hAnsi="宋体" w:cs="宋体"/>
                <w:sz w:val="24"/>
              </w:rPr>
            </w:pPr>
            <w:r>
              <w:rPr>
                <w:rFonts w:hint="eastAsia" w:ascii="宋体" w:hAnsi="宋体" w:cs="宋体"/>
                <w:sz w:val="24"/>
              </w:rPr>
              <w:t>人才队伍建设</w:t>
            </w:r>
          </w:p>
        </w:tc>
        <w:tc>
          <w:tcPr>
            <w:tcW w:w="2693" w:type="dxa"/>
            <w:vAlign w:val="center"/>
          </w:tcPr>
          <w:p>
            <w:pPr>
              <w:widowControl/>
              <w:jc w:val="center"/>
              <w:rPr>
                <w:rFonts w:ascii="宋体" w:hAnsi="宋体" w:cs="宋体"/>
                <w:sz w:val="24"/>
              </w:rPr>
            </w:pPr>
            <w:r>
              <w:rPr>
                <w:rFonts w:hint="eastAsia" w:ascii="宋体" w:hAnsi="宋体" w:cs="宋体"/>
                <w:sz w:val="24"/>
              </w:rPr>
              <w:t>党团活动经费,专项培训费</w:t>
            </w:r>
          </w:p>
        </w:tc>
        <w:tc>
          <w:tcPr>
            <w:tcW w:w="7030" w:type="dxa"/>
            <w:vAlign w:val="center"/>
          </w:tcPr>
          <w:p>
            <w:pPr>
              <w:widowControl/>
              <w:jc w:val="center"/>
              <w:rPr>
                <w:rFonts w:ascii="宋体" w:hAnsi="宋体" w:cs="宋体"/>
                <w:sz w:val="24"/>
              </w:rPr>
            </w:pPr>
            <w:r>
              <w:rPr>
                <w:rFonts w:hint="eastAsia" w:ascii="宋体" w:hAnsi="宋体" w:cs="宋体"/>
                <w:sz w:val="24"/>
              </w:rPr>
              <w:t>2022年度我院党团工作经费主要用于党员教育资料的购置，表彰优秀共产党员、开展党的组织生活、主题活动和专项活动共13次以及其他必要的支出，增强了党员政治思想觉悟。人事处组织了2022年院干部能力提升培训班，结合我院实际，安排了《全面提升产业振兴能力推进“三农”现代化建设》、《如何开展调查研究及调研报告写作》、《积极心理学与工作动力》、《学习党的二十大精神》等课程，加强了人才队伍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93" w:type="dxa"/>
            <w:vMerge w:val="continue"/>
            <w:vAlign w:val="center"/>
          </w:tcPr>
          <w:p>
            <w:pPr>
              <w:widowControl/>
              <w:jc w:val="center"/>
              <w:rPr>
                <w:rFonts w:ascii="宋体" w:hAnsi="宋体" w:cs="宋体"/>
                <w:kern w:val="0"/>
                <w:sz w:val="24"/>
              </w:rPr>
            </w:pPr>
          </w:p>
        </w:tc>
        <w:tc>
          <w:tcPr>
            <w:tcW w:w="1701" w:type="dxa"/>
            <w:vAlign w:val="center"/>
          </w:tcPr>
          <w:p>
            <w:pPr>
              <w:widowControl/>
              <w:jc w:val="center"/>
              <w:rPr>
                <w:rFonts w:ascii="宋体" w:hAnsi="宋体" w:cs="宋体"/>
                <w:sz w:val="24"/>
              </w:rPr>
            </w:pPr>
            <w:r>
              <w:rPr>
                <w:rFonts w:hint="eastAsia" w:ascii="宋体" w:hAnsi="宋体" w:cs="宋体"/>
                <w:sz w:val="24"/>
              </w:rPr>
              <w:t>科研基地建设</w:t>
            </w:r>
          </w:p>
        </w:tc>
        <w:tc>
          <w:tcPr>
            <w:tcW w:w="2693" w:type="dxa"/>
            <w:vAlign w:val="center"/>
          </w:tcPr>
          <w:p>
            <w:pPr>
              <w:widowControl/>
              <w:jc w:val="center"/>
              <w:rPr>
                <w:rFonts w:ascii="宋体" w:hAnsi="宋体" w:cs="宋体"/>
                <w:sz w:val="24"/>
              </w:rPr>
            </w:pPr>
            <w:r>
              <w:rPr>
                <w:rFonts w:hint="eastAsia" w:ascii="宋体" w:hAnsi="宋体" w:cs="宋体"/>
                <w:sz w:val="24"/>
              </w:rPr>
              <w:t>基地用工,生产经费,专项租赁费</w:t>
            </w:r>
          </w:p>
        </w:tc>
        <w:tc>
          <w:tcPr>
            <w:tcW w:w="7030" w:type="dxa"/>
            <w:vAlign w:val="center"/>
          </w:tcPr>
          <w:p>
            <w:pPr>
              <w:widowControl/>
              <w:jc w:val="center"/>
              <w:rPr>
                <w:rFonts w:ascii="宋体" w:hAnsi="宋体" w:cs="宋体"/>
                <w:sz w:val="24"/>
              </w:rPr>
            </w:pPr>
            <w:r>
              <w:rPr>
                <w:rFonts w:hint="eastAsia" w:ascii="宋体" w:hAnsi="宋体" w:cs="宋体"/>
                <w:sz w:val="24"/>
              </w:rPr>
              <w:t>通过政府招投标与劳务派遣公司签订服务合同，全年聘请固定工人28人，主要用于科研种子收集、田间数据采集、重要科研材料的后处理等科研辅助工作，季节性临时用工3164.6工时，主要用于播种、移栽、施肥打药除草等农田管理以及农田垃圾清运等农田环境整治。采购65吨肥料，16000平米的防虫网、保温网、农膜、1800升的汽柴油以及其他如育秧盘、黑膜等农资。保障院院基地农田科研试验的顺利开展。有效支撑了院种业创新工作，满足了三基地共计400亩的水稻、油菜大田和70亩蔬菜大棚选种圃、鉴定圃、种质资源圃和示范田中农作物生长农田管理用工；有效保障了望亭基地国家相城土壤质量观测站的运行，辅助完成了8组基础性长期性试验任务，为国家数据中心提供了科学的观测数据。 租用临湖基地274.39亩和漕湖基地36亩农业科研用地，保障了院水稻、油菜、水生蔬菜等学科各项科研试验的顺利进行，为院种业创新工作提供了必要的科研用地。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93" w:type="dxa"/>
            <w:vMerge w:val="restart"/>
            <w:vAlign w:val="center"/>
          </w:tcPr>
          <w:p>
            <w:pPr>
              <w:widowControl/>
              <w:jc w:val="center"/>
              <w:rPr>
                <w:rFonts w:ascii="宋体" w:hAnsi="宋体" w:cs="宋体"/>
                <w:kern w:val="0"/>
                <w:sz w:val="24"/>
              </w:rPr>
            </w:pPr>
            <w:r>
              <w:rPr>
                <w:rFonts w:hint="eastAsia" w:ascii="宋体" w:hAnsi="宋体" w:cs="宋体"/>
                <w:sz w:val="24"/>
              </w:rPr>
              <w:t>职能&lt;br&gt;2&lt;br&gt;：农业科技示范和科技服务</w:t>
            </w:r>
          </w:p>
        </w:tc>
        <w:tc>
          <w:tcPr>
            <w:tcW w:w="1701" w:type="dxa"/>
            <w:vAlign w:val="center"/>
          </w:tcPr>
          <w:p>
            <w:pPr>
              <w:widowControl/>
              <w:jc w:val="center"/>
              <w:rPr>
                <w:rFonts w:ascii="宋体" w:hAnsi="宋体" w:cs="宋体"/>
                <w:sz w:val="24"/>
              </w:rPr>
            </w:pPr>
            <w:r>
              <w:rPr>
                <w:rFonts w:hint="eastAsia" w:ascii="宋体" w:hAnsi="宋体" w:cs="宋体"/>
                <w:sz w:val="24"/>
              </w:rPr>
              <w:t>科技成果转化</w:t>
            </w:r>
          </w:p>
        </w:tc>
        <w:tc>
          <w:tcPr>
            <w:tcW w:w="2693" w:type="dxa"/>
            <w:vAlign w:val="center"/>
          </w:tcPr>
          <w:p>
            <w:pPr>
              <w:widowControl/>
              <w:jc w:val="center"/>
              <w:rPr>
                <w:rFonts w:ascii="宋体" w:hAnsi="宋体" w:cs="宋体"/>
                <w:sz w:val="24"/>
              </w:rPr>
            </w:pPr>
            <w:r>
              <w:rPr>
                <w:rFonts w:hint="eastAsia" w:ascii="宋体" w:hAnsi="宋体" w:cs="宋体"/>
                <w:sz w:val="24"/>
              </w:rPr>
              <w:t>科研基金,非税返还项目</w:t>
            </w:r>
          </w:p>
        </w:tc>
        <w:tc>
          <w:tcPr>
            <w:tcW w:w="7030" w:type="dxa"/>
            <w:vAlign w:val="center"/>
          </w:tcPr>
          <w:p>
            <w:pPr>
              <w:widowControl/>
              <w:jc w:val="center"/>
              <w:rPr>
                <w:rFonts w:ascii="宋体" w:hAnsi="宋体" w:cs="宋体"/>
                <w:sz w:val="24"/>
              </w:rPr>
            </w:pPr>
            <w:r>
              <w:rPr>
                <w:rFonts w:hint="eastAsia" w:ascii="宋体" w:hAnsi="宋体" w:cs="宋体"/>
                <w:sz w:val="24"/>
              </w:rPr>
              <w:t>新增技术合同经费50万元，完成技术报告10份，新签订技术合同10个，在国内外核心期刊发表论文10篇，省市主推技术、品种1个，服务生产经营主体数10个，所有项目严格按照项目合同所规定的内容和时间进度执行，按时结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93" w:type="dxa"/>
            <w:vMerge w:val="continue"/>
            <w:vAlign w:val="center"/>
          </w:tcPr>
          <w:p>
            <w:pPr>
              <w:widowControl/>
              <w:jc w:val="center"/>
              <w:rPr>
                <w:rFonts w:ascii="宋体" w:hAnsi="宋体" w:cs="宋体"/>
                <w:kern w:val="0"/>
                <w:sz w:val="24"/>
              </w:rPr>
            </w:pPr>
          </w:p>
        </w:tc>
        <w:tc>
          <w:tcPr>
            <w:tcW w:w="1701" w:type="dxa"/>
            <w:vAlign w:val="center"/>
          </w:tcPr>
          <w:p>
            <w:pPr>
              <w:widowControl/>
              <w:jc w:val="center"/>
              <w:rPr>
                <w:rFonts w:ascii="宋体" w:hAnsi="宋体" w:cs="宋体"/>
                <w:sz w:val="24"/>
              </w:rPr>
            </w:pPr>
            <w:r>
              <w:rPr>
                <w:rFonts w:hint="eastAsia" w:ascii="宋体" w:hAnsi="宋体" w:cs="宋体"/>
                <w:sz w:val="24"/>
              </w:rPr>
              <w:t>科技引领乡村振兴</w:t>
            </w:r>
          </w:p>
        </w:tc>
        <w:tc>
          <w:tcPr>
            <w:tcW w:w="2693" w:type="dxa"/>
            <w:vAlign w:val="center"/>
          </w:tcPr>
          <w:p>
            <w:pPr>
              <w:widowControl/>
              <w:jc w:val="center"/>
              <w:rPr>
                <w:rFonts w:ascii="宋体" w:hAnsi="宋体" w:cs="宋体"/>
                <w:sz w:val="24"/>
              </w:rPr>
            </w:pPr>
          </w:p>
        </w:tc>
        <w:tc>
          <w:tcPr>
            <w:tcW w:w="7030" w:type="dxa"/>
            <w:vAlign w:val="center"/>
          </w:tcPr>
          <w:p>
            <w:pPr>
              <w:widowControl/>
              <w:jc w:val="center"/>
              <w:rPr>
                <w:rFonts w:ascii="宋体" w:hAnsi="宋体" w:cs="宋体"/>
                <w:sz w:val="24"/>
              </w:rPr>
            </w:pPr>
            <w:r>
              <w:rPr>
                <w:rFonts w:hint="eastAsia" w:ascii="宋体" w:hAnsi="宋体" w:cs="宋体"/>
                <w:sz w:val="24"/>
              </w:rPr>
              <w:t>以国家农业重大技术协同推广和亚夫科技服务专项为重要抓手，牵头组建“优质稻米产业化开发协同推广联盟”谋划成立亚夫科技服务太仓双凤镇勤力村站和吴中东山站，组织开展线上线下技术培训活动，全程对接全产业链技术模式推广服务，助力苏州优质稻米、油蔬（菜）产业高质量发展。以国家和省级产业技术体系综合试验站为载体，组织科技人员深入园区、走进基地，进一步对接地方农业技术推广部门、科技型企业和家庭农场等生产经营主体，较好完成了中央农作物秸秆综合利用重点县建设、江苏省现代农业产业体系示范基地建设的方案编制和技术指导工作；以自主创新成果为主体，对苏香粳100、苏油薹1号、苏油8号、茨实21号等10个新品种，以及“稻茬机开沟垄播油菜/蚕豆绿色高效间套作关键创新技术”等11项新技术，拓宽宣传示范覆盖面，为我市稳粮保供工作提供了有效科技供给。以“苏州青禾科技服务团队”为品牌，围绕蔬菜全产业链科技需求，广泛吸纳院内各学科青年科技骨干，聚焦菜农急难愁盼问题，科学施策、精准服务，提高种植户生产管理水平，有效助力蔬菜产业高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93" w:type="dxa"/>
            <w:vAlign w:val="center"/>
          </w:tcPr>
          <w:p>
            <w:pPr>
              <w:widowControl/>
              <w:jc w:val="center"/>
              <w:rPr>
                <w:rFonts w:ascii="宋体" w:hAnsi="宋体" w:cs="宋体"/>
                <w:kern w:val="0"/>
                <w:sz w:val="24"/>
              </w:rPr>
            </w:pPr>
            <w:r>
              <w:rPr>
                <w:rFonts w:hint="eastAsia" w:ascii="宋体" w:hAnsi="宋体" w:cs="宋体"/>
                <w:sz w:val="24"/>
              </w:rPr>
              <w:t>职能&lt;br&gt;3&lt;br&gt;：农业国际交流与合作</w:t>
            </w:r>
          </w:p>
        </w:tc>
        <w:tc>
          <w:tcPr>
            <w:tcW w:w="1701" w:type="dxa"/>
            <w:vAlign w:val="center"/>
          </w:tcPr>
          <w:p>
            <w:pPr>
              <w:widowControl/>
              <w:jc w:val="center"/>
              <w:rPr>
                <w:rFonts w:ascii="宋体" w:hAnsi="宋体" w:cs="宋体"/>
                <w:sz w:val="24"/>
              </w:rPr>
            </w:pPr>
            <w:r>
              <w:rPr>
                <w:rFonts w:hint="eastAsia" w:ascii="宋体" w:hAnsi="宋体" w:cs="宋体"/>
                <w:sz w:val="24"/>
              </w:rPr>
              <w:t>国际交流合作</w:t>
            </w:r>
          </w:p>
        </w:tc>
        <w:tc>
          <w:tcPr>
            <w:tcW w:w="2693" w:type="dxa"/>
            <w:vAlign w:val="center"/>
          </w:tcPr>
          <w:p>
            <w:pPr>
              <w:widowControl/>
              <w:jc w:val="center"/>
              <w:rPr>
                <w:rFonts w:ascii="宋体" w:hAnsi="宋体" w:cs="宋体"/>
                <w:sz w:val="24"/>
              </w:rPr>
            </w:pPr>
            <w:r>
              <w:rPr>
                <w:rFonts w:hint="eastAsia" w:ascii="宋体" w:hAnsi="宋体" w:cs="宋体"/>
                <w:sz w:val="24"/>
              </w:rPr>
              <w:t>公务出国（境）费</w:t>
            </w:r>
          </w:p>
        </w:tc>
        <w:tc>
          <w:tcPr>
            <w:tcW w:w="7030" w:type="dxa"/>
            <w:vAlign w:val="center"/>
          </w:tcPr>
          <w:p>
            <w:pPr>
              <w:widowControl/>
              <w:jc w:val="center"/>
              <w:rPr>
                <w:rFonts w:ascii="宋体" w:hAnsi="宋体" w:cs="宋体"/>
                <w:sz w:val="24"/>
              </w:rPr>
            </w:pPr>
            <w:r>
              <w:rPr>
                <w:rFonts w:hint="eastAsia" w:ascii="宋体" w:hAnsi="宋体" w:cs="宋体"/>
                <w:sz w:val="24"/>
              </w:rPr>
              <w:t>因财政经费调整和疫情影响未能开展外出参观交流活动。</w:t>
            </w:r>
          </w:p>
        </w:tc>
      </w:tr>
    </w:tbl>
    <w:p>
      <w:pPr>
        <w:spacing w:line="360" w:lineRule="auto"/>
        <w:ind w:left="600"/>
        <w:rPr>
          <w:rFonts w:ascii="黑体" w:hAnsi="黑体" w:eastAsia="黑体"/>
          <w:sz w:val="30"/>
        </w:rPr>
      </w:pPr>
    </w:p>
    <w:p>
      <w:pPr>
        <w:spacing w:line="360" w:lineRule="auto"/>
        <w:ind w:left="600"/>
        <w:rPr>
          <w:rFonts w:ascii="黑体" w:hAnsi="黑体" w:eastAsia="黑体"/>
          <w:sz w:val="30"/>
        </w:rPr>
      </w:pPr>
    </w:p>
    <w:p>
      <w:pPr>
        <w:numPr>
          <w:ilvl w:val="0"/>
          <w:numId w:val="1"/>
        </w:numPr>
        <w:spacing w:line="360" w:lineRule="auto"/>
        <w:ind w:left="600"/>
        <w:rPr>
          <w:rFonts w:ascii="黑体" w:hAnsi="黑体" w:eastAsia="黑体"/>
          <w:sz w:val="30"/>
        </w:rPr>
      </w:pPr>
      <w:r>
        <w:rPr>
          <w:rFonts w:hint="eastAsia" w:ascii="黑体" w:hAnsi="黑体" w:eastAsia="黑体"/>
          <w:sz w:val="30"/>
        </w:rPr>
        <w:t>部门整体自评表</w:t>
      </w:r>
    </w:p>
    <w:tbl>
      <w:tblPr>
        <w:tblStyle w:val="5"/>
        <w:tblpPr w:leftFromText="180" w:rightFromText="180" w:vertAnchor="text" w:horzAnchor="page" w:tblpX="1656" w:tblpY="127"/>
        <w:tblOverlap w:val="never"/>
        <w:tblW w:w="14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118"/>
        <w:gridCol w:w="1560"/>
        <w:gridCol w:w="1984"/>
        <w:gridCol w:w="2509"/>
        <w:gridCol w:w="1318"/>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42" w:type="dxa"/>
            <w:shd w:val="clear" w:color="000000" w:fill="BFBFBF"/>
            <w:vAlign w:val="center"/>
          </w:tcPr>
          <w:p>
            <w:pPr>
              <w:widowControl/>
              <w:jc w:val="center"/>
              <w:rPr>
                <w:rFonts w:ascii="宋体" w:hAnsi="宋体" w:cs="宋体"/>
                <w:b/>
                <w:bCs/>
                <w:kern w:val="0"/>
                <w:sz w:val="24"/>
              </w:rPr>
            </w:pPr>
          </w:p>
        </w:tc>
        <w:tc>
          <w:tcPr>
            <w:tcW w:w="1418" w:type="dxa"/>
            <w:shd w:val="clear" w:color="000000" w:fill="BFBFBF"/>
            <w:vAlign w:val="center"/>
          </w:tcPr>
          <w:p>
            <w:pPr>
              <w:widowControl/>
              <w:jc w:val="center"/>
              <w:rPr>
                <w:rFonts w:ascii="宋体" w:hAnsi="宋体" w:cs="宋体"/>
                <w:b/>
                <w:bCs/>
                <w:kern w:val="0"/>
                <w:sz w:val="24"/>
              </w:rPr>
            </w:pPr>
            <w:r>
              <w:rPr>
                <w:rFonts w:hint="eastAsia" w:ascii="宋体" w:hAnsi="宋体" w:cs="宋体"/>
                <w:b/>
                <w:bCs/>
                <w:sz w:val="24"/>
              </w:rPr>
              <w:t>类别</w:t>
            </w:r>
          </w:p>
        </w:tc>
        <w:tc>
          <w:tcPr>
            <w:tcW w:w="3118" w:type="dxa"/>
            <w:shd w:val="clear" w:color="000000" w:fill="BFBFBF"/>
            <w:vAlign w:val="center"/>
          </w:tcPr>
          <w:p>
            <w:pPr>
              <w:widowControl/>
              <w:jc w:val="center"/>
              <w:rPr>
                <w:rFonts w:ascii="宋体" w:hAnsi="宋体" w:cs="宋体"/>
                <w:b/>
                <w:bCs/>
                <w:kern w:val="0"/>
                <w:sz w:val="24"/>
              </w:rPr>
            </w:pPr>
            <w:r>
              <w:rPr>
                <w:rFonts w:hint="eastAsia" w:ascii="宋体" w:hAnsi="宋体" w:cs="宋体"/>
                <w:b/>
                <w:bCs/>
                <w:sz w:val="24"/>
              </w:rPr>
              <w:t>指标名称</w:t>
            </w:r>
          </w:p>
        </w:tc>
        <w:tc>
          <w:tcPr>
            <w:tcW w:w="1560" w:type="dxa"/>
            <w:shd w:val="clear" w:color="000000" w:fill="BFBFBF"/>
            <w:vAlign w:val="center"/>
          </w:tcPr>
          <w:p>
            <w:pPr>
              <w:widowControl/>
              <w:jc w:val="center"/>
              <w:rPr>
                <w:rFonts w:ascii="宋体" w:hAnsi="宋体" w:cs="宋体"/>
                <w:b/>
                <w:bCs/>
                <w:kern w:val="0"/>
                <w:sz w:val="24"/>
              </w:rPr>
            </w:pPr>
            <w:r>
              <w:rPr>
                <w:rFonts w:hint="eastAsia" w:ascii="宋体" w:hAnsi="宋体" w:cs="宋体"/>
                <w:b/>
                <w:bCs/>
                <w:sz w:val="24"/>
              </w:rPr>
              <w:t>指标目标值</w:t>
            </w:r>
          </w:p>
        </w:tc>
        <w:tc>
          <w:tcPr>
            <w:tcW w:w="1984" w:type="dxa"/>
            <w:shd w:val="clear" w:color="000000" w:fill="BFBFBF"/>
            <w:vAlign w:val="center"/>
          </w:tcPr>
          <w:p>
            <w:pPr>
              <w:widowControl/>
              <w:jc w:val="center"/>
              <w:rPr>
                <w:rFonts w:ascii="宋体" w:hAnsi="宋体" w:cs="宋体"/>
                <w:b/>
                <w:bCs/>
                <w:kern w:val="0"/>
                <w:sz w:val="24"/>
              </w:rPr>
            </w:pPr>
            <w:r>
              <w:rPr>
                <w:rFonts w:hint="eastAsia" w:ascii="宋体" w:hAnsi="宋体" w:cs="宋体"/>
                <w:b/>
                <w:bCs/>
                <w:sz w:val="24"/>
              </w:rPr>
              <w:t>指标完成值</w:t>
            </w:r>
          </w:p>
        </w:tc>
        <w:tc>
          <w:tcPr>
            <w:tcW w:w="2509" w:type="dxa"/>
            <w:shd w:val="clear" w:color="000000" w:fill="BFBFBF"/>
            <w:vAlign w:val="center"/>
          </w:tcPr>
          <w:p>
            <w:pPr>
              <w:widowControl/>
              <w:jc w:val="center"/>
              <w:rPr>
                <w:rFonts w:ascii="宋体" w:hAnsi="宋体" w:cs="宋体"/>
                <w:b/>
                <w:bCs/>
                <w:kern w:val="0"/>
                <w:sz w:val="24"/>
              </w:rPr>
            </w:pPr>
            <w:r>
              <w:rPr>
                <w:rFonts w:hint="eastAsia" w:ascii="宋体" w:hAnsi="宋体" w:cs="宋体"/>
                <w:b/>
                <w:bCs/>
                <w:sz w:val="24"/>
              </w:rPr>
              <w:t>完成值来源</w:t>
            </w:r>
          </w:p>
        </w:tc>
        <w:tc>
          <w:tcPr>
            <w:tcW w:w="1318" w:type="dxa"/>
            <w:shd w:val="clear" w:color="000000" w:fill="BFBFBF"/>
            <w:vAlign w:val="center"/>
          </w:tcPr>
          <w:p>
            <w:pPr>
              <w:widowControl/>
              <w:jc w:val="center"/>
              <w:rPr>
                <w:rFonts w:ascii="宋体" w:hAnsi="宋体" w:cs="宋体"/>
                <w:b/>
                <w:bCs/>
                <w:sz w:val="24"/>
              </w:rPr>
            </w:pPr>
            <w:r>
              <w:rPr>
                <w:rFonts w:hint="eastAsia" w:ascii="宋体" w:hAnsi="宋体" w:cs="宋体"/>
                <w:b/>
                <w:bCs/>
                <w:sz w:val="24"/>
              </w:rPr>
              <w:t>偏差情况</w:t>
            </w:r>
          </w:p>
        </w:tc>
        <w:tc>
          <w:tcPr>
            <w:tcW w:w="1540" w:type="dxa"/>
            <w:shd w:val="clear" w:color="000000" w:fill="BFBFBF"/>
          </w:tcPr>
          <w:p>
            <w:pPr>
              <w:widowControl/>
              <w:jc w:val="center"/>
              <w:rPr>
                <w:rFonts w:ascii="黑体" w:hAnsi="黑体" w:eastAsia="黑体"/>
                <w:sz w:val="30"/>
              </w:rPr>
            </w:pPr>
            <w:r>
              <w:rPr>
                <w:rFonts w:hint="eastAsia" w:ascii="宋体" w:hAnsi="宋体" w:cs="宋体"/>
                <w:b/>
                <w:bCs/>
                <w:sz w:val="24"/>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restart"/>
            <w:vAlign w:val="center"/>
          </w:tcPr>
          <w:p>
            <w:pPr>
              <w:spacing w:line="360" w:lineRule="auto"/>
              <w:jc w:val="center"/>
              <w:rPr>
                <w:rFonts w:ascii="宋体" w:hAnsi="宋体" w:cs="宋体"/>
                <w:kern w:val="0"/>
                <w:sz w:val="24"/>
              </w:rPr>
            </w:pPr>
            <w:r>
              <w:rPr>
                <w:rFonts w:hint="eastAsia" w:ascii="宋体" w:hAnsi="宋体" w:cs="宋体"/>
                <w:sz w:val="24"/>
              </w:rPr>
              <w:t>分解目标</w:t>
            </w:r>
          </w:p>
        </w:tc>
        <w:tc>
          <w:tcPr>
            <w:tcW w:w="1418" w:type="dxa"/>
            <w:vMerge w:val="restart"/>
            <w:vAlign w:val="center"/>
          </w:tcPr>
          <w:p>
            <w:pPr>
              <w:spacing w:line="360" w:lineRule="auto"/>
              <w:jc w:val="center"/>
              <w:rPr>
                <w:rFonts w:ascii="宋体" w:hAnsi="宋体" w:cs="宋体"/>
                <w:kern w:val="0"/>
                <w:sz w:val="24"/>
              </w:rPr>
            </w:pPr>
            <w:r>
              <w:rPr>
                <w:rFonts w:hint="eastAsia" w:ascii="宋体" w:hAnsi="宋体" w:cs="宋体"/>
                <w:sz w:val="24"/>
              </w:rPr>
              <w:t>决策</w:t>
            </w: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中长期规划制定健全性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预算绩效实施方案</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工作计划制定健全性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预算绩效实施方案</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绩效指标明确性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明确</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明确</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预算绩效实施方案</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绩效目标合理性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合理</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合理</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预算绩效实施方案</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预算编制科学性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科学</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科学</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预算绩效实施方案</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预算编制规范性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预算绩效实施方案</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restart"/>
            <w:vAlign w:val="center"/>
          </w:tcPr>
          <w:p>
            <w:pPr>
              <w:spacing w:line="360" w:lineRule="auto"/>
              <w:jc w:val="center"/>
              <w:rPr>
                <w:rFonts w:ascii="宋体" w:hAnsi="宋体" w:cs="宋体"/>
                <w:kern w:val="0"/>
                <w:sz w:val="24"/>
              </w:rPr>
            </w:pPr>
            <w:r>
              <w:rPr>
                <w:rFonts w:hint="eastAsia" w:ascii="宋体" w:hAnsi="宋体" w:cs="宋体"/>
                <w:sz w:val="24"/>
              </w:rPr>
              <w:t>过程</w:t>
            </w: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基础信息完善性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完善</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完善</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预算公开文档</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预算管理制度健全性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预算绩效管理办法</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绩效管理覆盖率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预算绩效实施方案</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资金使用合规性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预决算公开文档</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预决算信息公开度</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公开</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公开</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预决算公开文档</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非税收入管理合规性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非税年检</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固定资产利用率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固定资产台账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资产管理制度健全性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制度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资产管理规范性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制度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项目管理制度健全性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制度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项目管理制度执行规范性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制度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人员管理制度执行有效性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制度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在职人员控制率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93.39%</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2022年12月工资表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-6.61%</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人员管理制度健全性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制度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业务学习与培训及时完成率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培训通知</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组织建设工作及时完成率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纪检监察工作有效性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省农科院考核文件</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“三公经费”变动率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预决算公开文档</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非税收入预算完成率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119.6%</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非税年检</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19.60%</w:t>
            </w:r>
          </w:p>
        </w:tc>
        <w:tc>
          <w:tcPr>
            <w:tcW w:w="1540" w:type="dxa"/>
          </w:tcPr>
          <w:p>
            <w:pPr>
              <w:spacing w:line="360" w:lineRule="auto"/>
              <w:rPr>
                <w:rFonts w:ascii="宋体" w:hAnsi="宋体" w:cs="宋体"/>
                <w:kern w:val="0"/>
                <w:sz w:val="22"/>
              </w:rPr>
            </w:pPr>
            <w:r>
              <w:rPr>
                <w:rFonts w:hint="eastAsia" w:ascii="宋体" w:hAnsi="宋体" w:cs="宋体"/>
                <w:sz w:val="24"/>
              </w:rPr>
              <w:t>非税课题经费比预算多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预算调整率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16.78%</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2022年单位执行情况汇总表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预算执行率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93.83%</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2022年单位执行情况汇总表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-6.17%</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结转结余率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6.17%</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2022年单位执行情况汇总表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公用经费控制率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&lt;=100%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2022年单位执行情况汇总表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政府采购执行率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98.45%</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政采合同</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-1.55%</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支付进度符合率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93.83%</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2022年单位执行情况汇总表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-6.17%</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restart"/>
            <w:vAlign w:val="center"/>
          </w:tcPr>
          <w:p>
            <w:pPr>
              <w:spacing w:line="360" w:lineRule="auto"/>
              <w:jc w:val="center"/>
              <w:rPr>
                <w:rFonts w:ascii="宋体" w:hAnsi="宋体" w:cs="宋体"/>
                <w:kern w:val="0"/>
                <w:sz w:val="24"/>
              </w:rPr>
            </w:pPr>
            <w:r>
              <w:rPr>
                <w:rFonts w:hint="eastAsia" w:ascii="宋体" w:hAnsi="宋体" w:cs="宋体"/>
                <w:sz w:val="24"/>
              </w:rPr>
              <w:t>效益</w:t>
            </w: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保护苏州地方品种资源</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=39个</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39个</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示范推广面积</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=10万亩</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10万亩</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服务苏州农业生产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服务</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服务</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科研基地正常运转</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正常</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正常</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restart"/>
            <w:vAlign w:val="center"/>
          </w:tcPr>
          <w:p>
            <w:pPr>
              <w:spacing w:line="360" w:lineRule="auto"/>
              <w:jc w:val="center"/>
              <w:rPr>
                <w:rFonts w:ascii="宋体" w:hAnsi="宋体" w:cs="宋体"/>
                <w:kern w:val="0"/>
                <w:sz w:val="24"/>
              </w:rPr>
            </w:pPr>
            <w:r>
              <w:rPr>
                <w:rFonts w:hint="eastAsia" w:ascii="宋体" w:hAnsi="宋体" w:cs="宋体"/>
                <w:sz w:val="24"/>
              </w:rPr>
              <w:t>履职</w:t>
            </w: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基地服务面积</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=591亩</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590亩</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院基地面积</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-0.17%</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省市主推技术、品种</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=1个</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1个</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文件</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化肥、农膜用量</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=117吨</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65吨</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发票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-44.44%</w:t>
            </w:r>
          </w:p>
        </w:tc>
        <w:tc>
          <w:tcPr>
            <w:tcW w:w="1540" w:type="dxa"/>
          </w:tcPr>
          <w:p>
            <w:pPr>
              <w:spacing w:line="360" w:lineRule="auto"/>
              <w:rPr>
                <w:rFonts w:ascii="宋体" w:hAnsi="宋体" w:cs="宋体"/>
                <w:kern w:val="0"/>
                <w:sz w:val="22"/>
              </w:rPr>
            </w:pPr>
            <w:r>
              <w:rPr>
                <w:rFonts w:hint="eastAsia" w:ascii="宋体" w:hAnsi="宋体" w:cs="宋体"/>
                <w:sz w:val="24"/>
              </w:rPr>
              <w:t>预算不能够精准，实际购买偏少。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开展活动及时性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活动通知</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技术合同数</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=10项</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10项</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技术合同</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示范推广三新成果</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=5项</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5项</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项目总结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技术规程</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=2项</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2项</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技术规程</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申请专利数</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=5个</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5个</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专利证书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省级以上项目立项数</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=2项</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3项</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立项通知书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50.00%</w:t>
            </w:r>
          </w:p>
        </w:tc>
        <w:tc>
          <w:tcPr>
            <w:tcW w:w="1540" w:type="dxa"/>
          </w:tcPr>
          <w:p>
            <w:pPr>
              <w:spacing w:line="360" w:lineRule="auto"/>
              <w:rPr>
                <w:rFonts w:ascii="宋体" w:hAnsi="宋体" w:cs="宋体"/>
                <w:kern w:val="0"/>
                <w:sz w:val="22"/>
              </w:rPr>
            </w:pPr>
            <w:r>
              <w:rPr>
                <w:rFonts w:hint="eastAsia" w:ascii="宋体" w:hAnsi="宋体" w:cs="宋体"/>
                <w:sz w:val="24"/>
              </w:rPr>
              <w:t>省级以上项目立项多1个。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出国（境）人次</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=0人</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0人</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由于疫情，未出国</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提供用工服务的及时性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用工考核表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出国（境）往返及时性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由于疫情，未出国</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出国（境）完成率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=0百分率</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0百分率</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由于疫情，未出国</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租赁土地达标程度</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达标</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达标</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租赁合同</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租赁费用支出及时性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租赁合同</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保障科研工作顺利进行</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保障</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保障</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保证我院科研项目的顺利进行，保障水稻、水八仙、荷花等产业健康发展</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保障</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保障</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促进单位履职能力</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提升</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提升</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工作总结</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培训人数</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&gt;=50人</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90人</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培训签到表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80.00%</w:t>
            </w:r>
          </w:p>
        </w:tc>
        <w:tc>
          <w:tcPr>
            <w:tcW w:w="1540" w:type="dxa"/>
          </w:tcPr>
          <w:p>
            <w:pPr>
              <w:spacing w:line="360" w:lineRule="auto"/>
              <w:rPr>
                <w:rFonts w:ascii="宋体" w:hAnsi="宋体" w:cs="宋体"/>
                <w:kern w:val="0"/>
                <w:sz w:val="22"/>
              </w:rPr>
            </w:pPr>
            <w:r>
              <w:rPr>
                <w:rFonts w:hint="eastAsia" w:ascii="宋体" w:hAnsi="宋体" w:cs="宋体"/>
                <w:sz w:val="24"/>
              </w:rPr>
              <w:t>实际参加培训人数比预算多。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研究报告数量</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=10份</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10份</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项目技术报告</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国内外核心期刊发表论文数</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=10篇</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10篇</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文章</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开展农业技术培训</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=150人次</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45人次</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培训签到表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-70.00%</w:t>
            </w:r>
          </w:p>
        </w:tc>
        <w:tc>
          <w:tcPr>
            <w:tcW w:w="1540" w:type="dxa"/>
          </w:tcPr>
          <w:p>
            <w:pPr>
              <w:spacing w:line="360" w:lineRule="auto"/>
              <w:rPr>
                <w:rFonts w:ascii="宋体" w:hAnsi="宋体" w:cs="宋体"/>
                <w:kern w:val="0"/>
                <w:sz w:val="22"/>
              </w:rPr>
            </w:pPr>
            <w:r>
              <w:rPr>
                <w:rFonts w:hint="eastAsia" w:ascii="宋体" w:hAnsi="宋体" w:cs="宋体"/>
                <w:sz w:val="24"/>
              </w:rPr>
              <w:t>由于疫情，参加人数少。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开展亚夫科技服务专场活动</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=1场</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1场</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培训通知</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柴汽油用量</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=1000升</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1802升</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发票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80.20%</w:t>
            </w:r>
          </w:p>
        </w:tc>
        <w:tc>
          <w:tcPr>
            <w:tcW w:w="1540" w:type="dxa"/>
          </w:tcPr>
          <w:p>
            <w:pPr>
              <w:spacing w:line="360" w:lineRule="auto"/>
              <w:rPr>
                <w:rFonts w:ascii="宋体" w:hAnsi="宋体" w:cs="宋体"/>
                <w:kern w:val="0"/>
                <w:sz w:val="22"/>
              </w:rPr>
            </w:pPr>
            <w:r>
              <w:rPr>
                <w:rFonts w:hint="eastAsia" w:ascii="宋体" w:hAnsi="宋体" w:cs="宋体"/>
                <w:sz w:val="24"/>
              </w:rPr>
              <w:t>预算不能够精准，实际购买偏多。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用工考核达标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达标</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达标</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用工考核表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服务生产经营主体</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=20个</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20个</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工作站信息卡</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其他农资用量</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=27000平方米</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16000平方米</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发票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-40.74%</w:t>
            </w:r>
          </w:p>
        </w:tc>
        <w:tc>
          <w:tcPr>
            <w:tcW w:w="1540" w:type="dxa"/>
          </w:tcPr>
          <w:p>
            <w:pPr>
              <w:spacing w:line="360" w:lineRule="auto"/>
              <w:rPr>
                <w:rFonts w:ascii="宋体" w:hAnsi="宋体" w:cs="宋体"/>
                <w:kern w:val="0"/>
                <w:sz w:val="22"/>
              </w:rPr>
            </w:pPr>
            <w:r>
              <w:rPr>
                <w:rFonts w:hint="eastAsia" w:ascii="宋体" w:hAnsi="宋体" w:cs="宋体"/>
                <w:sz w:val="24"/>
              </w:rPr>
              <w:t>预算不能够精准，实际购买偏少。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培训学员合格率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&gt;=95%</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培训证书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5.26%</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培训完成时间</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培训通知</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开展活动次数</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=5次</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13次</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活动通知</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160.00%</w:t>
            </w:r>
          </w:p>
        </w:tc>
        <w:tc>
          <w:tcPr>
            <w:tcW w:w="1540" w:type="dxa"/>
          </w:tcPr>
          <w:p>
            <w:pPr>
              <w:spacing w:line="360" w:lineRule="auto"/>
              <w:rPr>
                <w:rFonts w:ascii="宋体" w:hAnsi="宋体" w:cs="宋体"/>
                <w:kern w:val="0"/>
                <w:sz w:val="22"/>
              </w:rPr>
            </w:pPr>
            <w:r>
              <w:rPr>
                <w:rFonts w:hint="eastAsia" w:ascii="宋体" w:hAnsi="宋体" w:cs="宋体"/>
                <w:sz w:val="24"/>
              </w:rPr>
              <w:t>活动丰富。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走访地区数量</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&gt;=2个</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10个</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活动通知</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400.00%</w:t>
            </w:r>
          </w:p>
        </w:tc>
        <w:tc>
          <w:tcPr>
            <w:tcW w:w="1540" w:type="dxa"/>
          </w:tcPr>
          <w:p>
            <w:pPr>
              <w:spacing w:line="360" w:lineRule="auto"/>
              <w:rPr>
                <w:rFonts w:ascii="宋体" w:hAnsi="宋体" w:cs="宋体"/>
                <w:kern w:val="0"/>
                <w:sz w:val="22"/>
              </w:rPr>
            </w:pPr>
            <w:r>
              <w:rPr>
                <w:rFonts w:hint="eastAsia" w:ascii="宋体" w:hAnsi="宋体" w:cs="宋体"/>
                <w:sz w:val="24"/>
              </w:rPr>
              <w:t>活动丰富。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形成自主知识产权的新品种、新技术模式或鉴（认）定的物化产品</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=2个</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2个</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品种权证书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项目完成及时性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项目验收通知</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党团员活动参与率</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&gt;=80%</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90%</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活动签到表</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12.50%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技术合同经费</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=50万元</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50万元</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技术合同</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成果转化或技术服务收益</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=50万元</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60万元</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服务合同</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20.00%</w:t>
            </w:r>
          </w:p>
        </w:tc>
        <w:tc>
          <w:tcPr>
            <w:tcW w:w="1540" w:type="dxa"/>
          </w:tcPr>
          <w:p>
            <w:pPr>
              <w:spacing w:line="360" w:lineRule="auto"/>
              <w:rPr>
                <w:rFonts w:ascii="宋体" w:hAnsi="宋体" w:cs="宋体"/>
                <w:kern w:val="0"/>
                <w:sz w:val="22"/>
              </w:rPr>
            </w:pPr>
            <w:r>
              <w:rPr>
                <w:rFonts w:hint="eastAsia" w:ascii="宋体" w:hAnsi="宋体" w:cs="宋体"/>
                <w:sz w:val="24"/>
              </w:rPr>
              <w:t>提供的技术服务增多。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技术报告</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=10个</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10个</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技术报告</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土地租赁面积</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=310.29亩</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310.29亩</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租赁合同</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国内外核心期刊</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=10篇</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10篇</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文章</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化肥施用及时性</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及时</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化肥施用台账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2" w:type="dxa"/>
            <w:vMerge w:val="continue"/>
            <w:vAlign w:val="center"/>
          </w:tcPr>
          <w:p>
            <w:pPr>
              <w:spacing w:line="360" w:lineRule="auto"/>
              <w:jc w:val="center"/>
              <w:rPr>
                <w:rFonts w:ascii="宋体" w:hAnsi="宋体" w:cs="宋体"/>
                <w:kern w:val="0"/>
                <w:sz w:val="24"/>
              </w:rPr>
            </w:pPr>
          </w:p>
        </w:tc>
        <w:tc>
          <w:tcPr>
            <w:tcW w:w="1418" w:type="dxa"/>
            <w:vMerge w:val="continue"/>
            <w:vAlign w:val="center"/>
          </w:tcPr>
          <w:p>
            <w:pPr>
              <w:spacing w:line="360" w:lineRule="auto"/>
              <w:jc w:val="center"/>
              <w:rPr>
                <w:rFonts w:ascii="宋体" w:hAnsi="宋体" w:cs="宋体"/>
                <w:kern w:val="0"/>
                <w:sz w:val="24"/>
              </w:rPr>
            </w:pPr>
          </w:p>
        </w:tc>
        <w:tc>
          <w:tcPr>
            <w:tcW w:w="3118" w:type="dxa"/>
            <w:vAlign w:val="center"/>
          </w:tcPr>
          <w:p>
            <w:pPr>
              <w:spacing w:line="360" w:lineRule="auto"/>
              <w:jc w:val="center"/>
              <w:rPr>
                <w:rFonts w:ascii="宋体" w:hAnsi="宋体" w:cs="宋体"/>
                <w:kern w:val="0"/>
                <w:sz w:val="24"/>
              </w:rPr>
            </w:pPr>
            <w:r>
              <w:rPr>
                <w:rFonts w:hint="eastAsia" w:ascii="宋体" w:hAnsi="宋体" w:cs="宋体"/>
                <w:sz w:val="24"/>
              </w:rPr>
              <w:t>化肥施用符合要求</w:t>
            </w:r>
          </w:p>
        </w:tc>
        <w:tc>
          <w:tcPr>
            <w:tcW w:w="1560" w:type="dxa"/>
            <w:vAlign w:val="center"/>
          </w:tcPr>
          <w:p>
            <w:pPr>
              <w:spacing w:line="360" w:lineRule="auto"/>
              <w:jc w:val="center"/>
              <w:rPr>
                <w:rFonts w:ascii="宋体" w:hAnsi="宋体" w:cs="宋体"/>
                <w:kern w:val="0"/>
                <w:sz w:val="24"/>
              </w:rPr>
            </w:pPr>
            <w:r>
              <w:rPr>
                <w:rFonts w:hint="eastAsia" w:ascii="宋体" w:hAnsi="宋体" w:cs="宋体"/>
                <w:sz w:val="24"/>
              </w:rPr>
              <w:t>符合</w:t>
            </w:r>
          </w:p>
        </w:tc>
        <w:tc>
          <w:tcPr>
            <w:tcW w:w="1984" w:type="dxa"/>
            <w:vAlign w:val="center"/>
          </w:tcPr>
          <w:p>
            <w:pPr>
              <w:spacing w:line="360" w:lineRule="auto"/>
              <w:jc w:val="center"/>
              <w:rPr>
                <w:rFonts w:ascii="宋体" w:hAnsi="宋体" w:cs="宋体"/>
                <w:kern w:val="0"/>
                <w:sz w:val="24"/>
              </w:rPr>
            </w:pPr>
            <w:r>
              <w:rPr>
                <w:rFonts w:hint="eastAsia" w:ascii="宋体" w:hAnsi="宋体" w:cs="宋体"/>
                <w:sz w:val="24"/>
              </w:rPr>
              <w:t>符合</w:t>
            </w:r>
          </w:p>
        </w:tc>
        <w:tc>
          <w:tcPr>
            <w:tcW w:w="2509" w:type="dxa"/>
            <w:vAlign w:val="center"/>
          </w:tcPr>
          <w:p>
            <w:pPr>
              <w:spacing w:line="360" w:lineRule="auto"/>
              <w:jc w:val="center"/>
              <w:rPr>
                <w:rFonts w:ascii="宋体" w:hAnsi="宋体" w:cs="宋体"/>
                <w:kern w:val="0"/>
                <w:sz w:val="24"/>
              </w:rPr>
            </w:pPr>
            <w:r>
              <w:rPr>
                <w:rFonts w:hint="eastAsia" w:ascii="宋体" w:hAnsi="宋体" w:cs="宋体"/>
                <w:sz w:val="24"/>
              </w:rPr>
              <w:t>化肥施用台账</w:t>
            </w:r>
          </w:p>
        </w:tc>
        <w:tc>
          <w:tcPr>
            <w:tcW w:w="1318"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540" w:type="dxa"/>
          </w:tcPr>
          <w:p>
            <w:pPr>
              <w:spacing w:line="360" w:lineRule="auto"/>
              <w:rPr>
                <w:rFonts w:ascii="宋体" w:hAnsi="宋体" w:cs="宋体"/>
                <w:kern w:val="0"/>
                <w:sz w:val="22"/>
              </w:rPr>
            </w:pPr>
          </w:p>
        </w:tc>
      </w:tr>
    </w:tbl>
    <w:p>
      <w:pPr>
        <w:spacing w:line="360" w:lineRule="auto"/>
        <w:rPr>
          <w:rFonts w:ascii="黑体" w:hAnsi="黑体" w:eastAsia="黑体"/>
          <w:sz w:val="30"/>
        </w:rPr>
      </w:pPr>
    </w:p>
    <w:sectPr>
      <w:headerReference r:id="rId7" w:type="default"/>
      <w:footerReference r:id="rId8" w:type="default"/>
      <w:pgSz w:w="16840" w:h="11907" w:orient="landscape"/>
      <w:pgMar w:top="1559" w:right="1247" w:bottom="1400" w:left="1089"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B9F1"/>
    <w:multiLevelType w:val="singleLevel"/>
    <w:tmpl w:val="5D7BB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OTViYzcxNGE0NTJjZjliMjQ2YjZmYTdmNTUzZTA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5A32"/>
    <w:rsid w:val="00147FEA"/>
    <w:rsid w:val="0015165E"/>
    <w:rsid w:val="00155CA1"/>
    <w:rsid w:val="001612E1"/>
    <w:rsid w:val="00164523"/>
    <w:rsid w:val="00165B5D"/>
    <w:rsid w:val="001662B4"/>
    <w:rsid w:val="001705EA"/>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873F2"/>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851B3"/>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45B1"/>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4D46"/>
    <w:rsid w:val="00BE4D54"/>
    <w:rsid w:val="00BE72CC"/>
    <w:rsid w:val="00BF0580"/>
    <w:rsid w:val="00BF185A"/>
    <w:rsid w:val="00BF2DD0"/>
    <w:rsid w:val="00BF7CC4"/>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0732C"/>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BE67437"/>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6F75BDA"/>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已访问的超链接1"/>
    <w:qFormat/>
    <w:uiPriority w:val="0"/>
    <w:rPr>
      <w:color w:val="800080"/>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paragraph" w:customStyle="1" w:styleId="13">
    <w:name w:val="目录 21"/>
    <w:basedOn w:val="1"/>
    <w:next w:val="1"/>
    <w:qFormat/>
    <w:uiPriority w:val="39"/>
    <w:pPr>
      <w:tabs>
        <w:tab w:val="right" w:leader="dot" w:pos="8494"/>
      </w:tabs>
      <w:spacing w:line="560" w:lineRule="exact"/>
      <w:ind w:left="210"/>
      <w:jc w:val="left"/>
    </w:pPr>
    <w:rPr>
      <w:rFonts w:ascii="仿宋_GB2312" w:hAnsi="Calibri" w:eastAsia="仿宋_GB2312" w:cs="Calibri"/>
      <w:smallCaps/>
      <w:sz w:val="28"/>
      <w:szCs w:val="28"/>
    </w:rPr>
  </w:style>
  <w:style w:type="paragraph" w:customStyle="1" w:styleId="14">
    <w:name w:val="目录 11"/>
    <w:basedOn w:val="1"/>
    <w:next w:val="1"/>
    <w:qFormat/>
    <w:uiPriority w:val="39"/>
    <w:pPr>
      <w:tabs>
        <w:tab w:val="left" w:pos="840"/>
        <w:tab w:val="right" w:leader="dot" w:pos="8296"/>
      </w:tabs>
      <w:spacing w:line="560" w:lineRule="exact"/>
      <w:jc w:val="left"/>
    </w:pPr>
    <w:rPr>
      <w:rFonts w:ascii="仿宋_GB2312" w:hAnsi="新宋体" w:eastAsia="仿宋_GB2312" w:cs="Calibri"/>
      <w:b/>
      <w:bCs/>
      <w:caps/>
      <w:sz w:val="28"/>
      <w:szCs w:val="28"/>
    </w:rPr>
  </w:style>
  <w:style w:type="paragraph" w:customStyle="1" w:styleId="15">
    <w:name w:val="Char Char Char Char Char Char Char"/>
    <w:basedOn w:val="1"/>
    <w:qFormat/>
    <w:uiPriority w:val="0"/>
    <w:rPr>
      <w:szCs w:val="21"/>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czj</Company>
  <Pages>13</Pages>
  <Words>5998</Words>
  <Characters>6954</Characters>
  <Lines>55</Lines>
  <Paragraphs>15</Paragraphs>
  <TotalTime>14</TotalTime>
  <ScaleCrop>false</ScaleCrop>
  <LinksUpToDate>false</LinksUpToDate>
  <CharactersWithSpaces>6958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2020-12-31T06:58:00Z</dcterms:created>
  <dc:creator>傅海英</dc:creator>
  <cp:lastModifiedBy>林微</cp:lastModifiedBy>
  <cp:lastPrinted>2023-09-06T05:19:00Z</cp:lastPrinted>
  <dcterms:modified xsi:type="dcterms:W3CDTF">2023-09-06T07:08:27Z</dcterms:modified>
  <dc:title>关于进行本市部门整体支出</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A8C77654BA4B47CEB7DAF5074EAFC936_13</vt:lpwstr>
  </property>
</Properties>
</file>