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tbl>
      <w:tblPr>
        <w:tblStyle w:val="5"/>
        <w:tblW w:w="8501" w:type="dxa"/>
        <w:tblInd w:w="-142" w:type="dxa"/>
        <w:tblLayout w:type="fixed"/>
        <w:tblCellMar>
          <w:top w:w="0" w:type="dxa"/>
          <w:left w:w="0" w:type="dxa"/>
          <w:bottom w:w="0" w:type="dxa"/>
          <w:right w:w="0" w:type="dxa"/>
        </w:tblCellMar>
      </w:tblPr>
      <w:tblGrid>
        <w:gridCol w:w="852"/>
        <w:gridCol w:w="366"/>
        <w:gridCol w:w="604"/>
        <w:gridCol w:w="612"/>
        <w:gridCol w:w="77"/>
        <w:gridCol w:w="831"/>
        <w:gridCol w:w="305"/>
        <w:gridCol w:w="475"/>
        <w:gridCol w:w="738"/>
        <w:gridCol w:w="422"/>
        <w:gridCol w:w="791"/>
        <w:gridCol w:w="723"/>
        <w:gridCol w:w="490"/>
        <w:gridCol w:w="1215"/>
      </w:tblGrid>
      <w:tr>
        <w:tblPrEx>
          <w:tblCellMar>
            <w:top w:w="0" w:type="dxa"/>
            <w:left w:w="0" w:type="dxa"/>
            <w:bottom w:w="0" w:type="dxa"/>
            <w:right w:w="0" w:type="dxa"/>
          </w:tblCellMar>
        </w:tblPrEx>
        <w:trPr>
          <w:trHeight w:val="535" w:hRule="atLeast"/>
        </w:trPr>
        <w:tc>
          <w:tcPr>
            <w:tcW w:w="8496" w:type="dxa"/>
            <w:gridSpan w:val="14"/>
            <w:tcBorders>
              <w:top w:val="nil"/>
              <w:left w:val="nil"/>
              <w:bottom w:val="single" w:color="auto" w:sz="4" w:space="0"/>
              <w:right w:val="nil"/>
            </w:tcBorders>
            <w:shd w:val="clear" w:color="auto" w:fill="auto"/>
            <w:noWrap/>
            <w:tcMar>
              <w:top w:w="15" w:type="dxa"/>
              <w:left w:w="15" w:type="dxa"/>
              <w:bottom w:w="0" w:type="dxa"/>
              <w:right w:w="15" w:type="dxa"/>
            </w:tcMar>
          </w:tcPr>
          <w:p>
            <w:pPr>
              <w:jc w:val="center"/>
              <w:rPr>
                <w:rFonts w:cs="Arial"/>
                <w:b/>
                <w:bCs/>
                <w:color w:val="000000"/>
                <w:sz w:val="40"/>
                <w:szCs w:val="40"/>
              </w:rPr>
            </w:pPr>
            <w:r>
              <w:rPr>
                <w:rFonts w:hint="eastAsia" w:cs="Arial"/>
                <w:b/>
                <w:bCs/>
                <w:color w:val="000000"/>
                <w:sz w:val="40"/>
                <w:szCs w:val="40"/>
              </w:rPr>
              <w:t>苏州市级财政支出项目绩效自评价报告</w:t>
            </w:r>
          </w:p>
        </w:tc>
      </w:tr>
      <w:tr>
        <w:tblPrEx>
          <w:tblCellMar>
            <w:top w:w="0" w:type="dxa"/>
            <w:left w:w="0" w:type="dxa"/>
            <w:bottom w:w="0" w:type="dxa"/>
            <w:right w:w="0" w:type="dxa"/>
          </w:tblCellMar>
        </w:tblPrEx>
        <w:trPr>
          <w:trHeight w:val="472" w:hRule="atLeast"/>
        </w:trPr>
        <w:tc>
          <w:tcPr>
            <w:tcW w:w="8496"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b/>
                <w:bCs/>
                <w:color w:val="000000"/>
                <w:sz w:val="36"/>
                <w:szCs w:val="36"/>
              </w:rPr>
            </w:pPr>
            <w:r>
              <w:rPr>
                <w:rFonts w:hint="eastAsia" w:cs="Arial"/>
                <w:b/>
                <w:bCs/>
                <w:color w:val="000000"/>
                <w:sz w:val="36"/>
                <w:szCs w:val="36"/>
              </w:rPr>
              <w:t>苏州市级财政支出项目绩效自评表</w:t>
            </w:r>
          </w:p>
        </w:tc>
      </w:tr>
      <w:tr>
        <w:tblPrEx>
          <w:tblCellMar>
            <w:top w:w="0" w:type="dxa"/>
            <w:left w:w="0" w:type="dxa"/>
            <w:bottom w:w="0" w:type="dxa"/>
            <w:right w:w="0" w:type="dxa"/>
          </w:tblCellMar>
        </w:tblPrEx>
        <w:trPr>
          <w:trHeight w:val="394" w:hRule="atLeast"/>
        </w:trPr>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项目名称</w:t>
            </w:r>
          </w:p>
        </w:tc>
        <w:tc>
          <w:tcPr>
            <w:tcW w:w="3460"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实验室建设</w:t>
            </w:r>
          </w:p>
        </w:tc>
        <w:tc>
          <w:tcPr>
            <w:tcW w:w="1514"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项目年份</w:t>
            </w:r>
          </w:p>
        </w:tc>
        <w:tc>
          <w:tcPr>
            <w:tcW w:w="1704"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2</w:t>
            </w:r>
            <w:r>
              <w:rPr>
                <w:rFonts w:ascii="宋体" w:hAnsi="宋体"/>
                <w:sz w:val="22"/>
              </w:rPr>
              <w:t>021</w:t>
            </w:r>
          </w:p>
        </w:tc>
      </w:tr>
      <w:tr>
        <w:tblPrEx>
          <w:tblCellMar>
            <w:top w:w="0" w:type="dxa"/>
            <w:left w:w="0" w:type="dxa"/>
            <w:bottom w:w="0" w:type="dxa"/>
            <w:right w:w="0" w:type="dxa"/>
          </w:tblCellMar>
        </w:tblPrEx>
        <w:trPr>
          <w:trHeight w:val="425" w:hRule="atLeast"/>
        </w:trPr>
        <w:tc>
          <w:tcPr>
            <w:tcW w:w="18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项目主管部门(单位)</w:t>
            </w:r>
          </w:p>
        </w:tc>
        <w:tc>
          <w:tcPr>
            <w:tcW w:w="6678" w:type="dxa"/>
            <w:gridSpan w:val="11"/>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苏州市农业科学院</w:t>
            </w:r>
          </w:p>
        </w:tc>
      </w:tr>
      <w:tr>
        <w:tblPrEx>
          <w:tblCellMar>
            <w:top w:w="0" w:type="dxa"/>
            <w:left w:w="0" w:type="dxa"/>
            <w:bottom w:w="0" w:type="dxa"/>
            <w:right w:w="0" w:type="dxa"/>
          </w:tblCellMar>
        </w:tblPrEx>
        <w:trPr>
          <w:trHeight w:val="535" w:hRule="atLeast"/>
        </w:trPr>
        <w:tc>
          <w:tcPr>
            <w:tcW w:w="85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市级预算执行情况（万元）</w:t>
            </w:r>
          </w:p>
        </w:tc>
        <w:tc>
          <w:tcPr>
            <w:tcW w:w="968"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年初预算数</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当年使用上年结余、结转及当年调整预算数</w:t>
            </w:r>
          </w:p>
        </w:tc>
        <w:tc>
          <w:tcPr>
            <w:tcW w:w="2674"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财政拨款数</w:t>
            </w:r>
          </w:p>
        </w:tc>
        <w:tc>
          <w:tcPr>
            <w:tcW w:w="1704"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指标结余数</w:t>
            </w:r>
          </w:p>
        </w:tc>
      </w:tr>
      <w:tr>
        <w:tblPrEx>
          <w:tblCellMar>
            <w:top w:w="0" w:type="dxa"/>
            <w:left w:w="0" w:type="dxa"/>
            <w:bottom w:w="0" w:type="dxa"/>
            <w:right w:w="0" w:type="dxa"/>
          </w:tblCellMar>
        </w:tblPrEx>
        <w:trPr>
          <w:trHeight w:val="441" w:hRule="atLeast"/>
        </w:trPr>
        <w:tc>
          <w:tcPr>
            <w:tcW w:w="850" w:type="dxa"/>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968"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650</w:t>
            </w:r>
          </w:p>
        </w:tc>
        <w:tc>
          <w:tcPr>
            <w:tcW w:w="2300" w:type="dxa"/>
            <w:gridSpan w:val="5"/>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0</w:t>
            </w:r>
          </w:p>
        </w:tc>
        <w:tc>
          <w:tcPr>
            <w:tcW w:w="2674"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533.295</w:t>
            </w:r>
          </w:p>
        </w:tc>
        <w:tc>
          <w:tcPr>
            <w:tcW w:w="1704"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116.705</w:t>
            </w:r>
          </w:p>
        </w:tc>
      </w:tr>
      <w:tr>
        <w:tblPrEx>
          <w:tblCellMar>
            <w:top w:w="0" w:type="dxa"/>
            <w:left w:w="0" w:type="dxa"/>
            <w:bottom w:w="0" w:type="dxa"/>
            <w:right w:w="0" w:type="dxa"/>
          </w:tblCellMar>
        </w:tblPrEx>
        <w:trPr>
          <w:trHeight w:val="346" w:hRule="atLeast"/>
        </w:trPr>
        <w:tc>
          <w:tcPr>
            <w:tcW w:w="85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市级财政资金使用情况（万元）</w:t>
            </w:r>
          </w:p>
        </w:tc>
        <w:tc>
          <w:tcPr>
            <w:tcW w:w="968"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财政拨款数</w:t>
            </w:r>
          </w:p>
        </w:tc>
        <w:tc>
          <w:tcPr>
            <w:tcW w:w="152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实际支付数</w:t>
            </w:r>
          </w:p>
        </w:tc>
        <w:tc>
          <w:tcPr>
            <w:tcW w:w="19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资金结余、结转数</w:t>
            </w:r>
          </w:p>
        </w:tc>
        <w:tc>
          <w:tcPr>
            <w:tcW w:w="3218"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其中：</w:t>
            </w:r>
          </w:p>
        </w:tc>
      </w:tr>
      <w:tr>
        <w:tblPrEx>
          <w:tblCellMar>
            <w:top w:w="0" w:type="dxa"/>
            <w:left w:w="0" w:type="dxa"/>
            <w:bottom w:w="0" w:type="dxa"/>
            <w:right w:w="0" w:type="dxa"/>
          </w:tblCellMar>
        </w:tblPrEx>
        <w:trPr>
          <w:trHeight w:val="378" w:hRule="atLeast"/>
        </w:trPr>
        <w:tc>
          <w:tcPr>
            <w:tcW w:w="850" w:type="dxa"/>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968" w:type="dxa"/>
            <w:gridSpan w:val="2"/>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1520" w:type="dxa"/>
            <w:gridSpan w:val="3"/>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1940" w:type="dxa"/>
            <w:gridSpan w:val="4"/>
            <w:vMerge w:val="continue"/>
            <w:tcBorders>
              <w:top w:val="single" w:color="000000" w:sz="4" w:space="0"/>
              <w:left w:val="single" w:color="000000" w:sz="4" w:space="0"/>
              <w:bottom w:val="single" w:color="000000" w:sz="4" w:space="0"/>
              <w:right w:val="single" w:color="000000" w:sz="4" w:space="0"/>
            </w:tcBorders>
            <w:vAlign w:val="center"/>
          </w:tcPr>
          <w:p>
            <w:pPr>
              <w:rPr>
                <w:rFonts w:cs="Arial"/>
                <w:color w:val="000000"/>
                <w:sz w:val="22"/>
              </w:rPr>
            </w:pPr>
          </w:p>
        </w:tc>
        <w:tc>
          <w:tcPr>
            <w:tcW w:w="1514"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结转数</w:t>
            </w:r>
          </w:p>
        </w:tc>
        <w:tc>
          <w:tcPr>
            <w:tcW w:w="1704"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财政收回数</w:t>
            </w:r>
          </w:p>
        </w:tc>
      </w:tr>
      <w:tr>
        <w:tblPrEx>
          <w:tblCellMar>
            <w:top w:w="0" w:type="dxa"/>
            <w:left w:w="0" w:type="dxa"/>
            <w:bottom w:w="0" w:type="dxa"/>
            <w:right w:w="0" w:type="dxa"/>
          </w:tblCellMar>
        </w:tblPrEx>
        <w:trPr>
          <w:trHeight w:val="630" w:hRule="atLeast"/>
        </w:trPr>
        <w:tc>
          <w:tcPr>
            <w:tcW w:w="850" w:type="dxa"/>
            <w:vMerge w:val="continue"/>
            <w:tcBorders>
              <w:top w:val="nil"/>
              <w:left w:val="single" w:color="000000" w:sz="4" w:space="0"/>
              <w:bottom w:val="single" w:color="000000" w:sz="4" w:space="0"/>
              <w:right w:val="single" w:color="000000" w:sz="4" w:space="0"/>
            </w:tcBorders>
            <w:vAlign w:val="center"/>
          </w:tcPr>
          <w:p>
            <w:pPr>
              <w:rPr>
                <w:rFonts w:cs="Arial"/>
                <w:color w:val="000000"/>
                <w:sz w:val="22"/>
              </w:rPr>
            </w:pPr>
          </w:p>
        </w:tc>
        <w:tc>
          <w:tcPr>
            <w:tcW w:w="968"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533.295</w:t>
            </w:r>
          </w:p>
        </w:tc>
        <w:tc>
          <w:tcPr>
            <w:tcW w:w="1520" w:type="dxa"/>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533.295</w:t>
            </w:r>
          </w:p>
        </w:tc>
        <w:tc>
          <w:tcPr>
            <w:tcW w:w="1940" w:type="dxa"/>
            <w:gridSpan w:val="4"/>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0</w:t>
            </w:r>
          </w:p>
        </w:tc>
        <w:tc>
          <w:tcPr>
            <w:tcW w:w="1514"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0</w:t>
            </w:r>
          </w:p>
        </w:tc>
        <w:tc>
          <w:tcPr>
            <w:tcW w:w="1704" w:type="dxa"/>
            <w:gridSpan w:val="2"/>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ascii="宋体" w:hAnsi="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8496" w:type="dxa"/>
            <w:gridSpan w:val="14"/>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项目资金构成（详细列出各子项目名称和金额）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507"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子项名称</w:t>
            </w:r>
          </w:p>
        </w:tc>
        <w:tc>
          <w:tcPr>
            <w:tcW w:w="2771" w:type="dxa"/>
            <w:gridSpan w:val="5"/>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预算数（万元）</w:t>
            </w:r>
          </w:p>
        </w:tc>
        <w:tc>
          <w:tcPr>
            <w:tcW w:w="3218" w:type="dxa"/>
            <w:gridSpan w:val="4"/>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实际数（万元）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50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实验室改造</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w:t>
            </w:r>
          </w:p>
        </w:tc>
        <w:tc>
          <w:tcPr>
            <w:tcW w:w="3218"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50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专用设备</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630</w:t>
            </w:r>
          </w:p>
        </w:tc>
        <w:tc>
          <w:tcPr>
            <w:tcW w:w="3218"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513.295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507"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合计</w:t>
            </w:r>
          </w:p>
        </w:tc>
        <w:tc>
          <w:tcPr>
            <w:tcW w:w="277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650</w:t>
            </w:r>
          </w:p>
        </w:tc>
        <w:tc>
          <w:tcPr>
            <w:tcW w:w="3218"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533.295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15"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项目</w:t>
            </w:r>
          </w:p>
        </w:tc>
        <w:tc>
          <w:tcPr>
            <w:tcW w:w="1215"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类别</w:t>
            </w:r>
          </w:p>
        </w:tc>
        <w:tc>
          <w:tcPr>
            <w:tcW w:w="1213" w:type="dxa"/>
            <w:gridSpan w:val="3"/>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指标名称</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目标值</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权重</w:t>
            </w:r>
          </w:p>
        </w:tc>
        <w:tc>
          <w:tcPr>
            <w:tcW w:w="1213" w:type="dxa"/>
            <w:gridSpan w:val="2"/>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实际完成值</w:t>
            </w:r>
          </w:p>
        </w:tc>
        <w:tc>
          <w:tcPr>
            <w:tcW w:w="1214" w:type="dxa"/>
            <w:tcBorders>
              <w:top w:val="single" w:color="auto" w:sz="4" w:space="0"/>
              <w:left w:val="single" w:color="auto" w:sz="4" w:space="0"/>
              <w:bottom w:val="single" w:color="auto" w:sz="4" w:space="0"/>
              <w:right w:val="single" w:color="auto" w:sz="4" w:space="0"/>
            </w:tcBorders>
            <w:shd w:val="clear" w:color="auto" w:fill="BFBFBF"/>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项目绩效实现情况（80分）</w:t>
            </w:r>
          </w:p>
        </w:tc>
        <w:tc>
          <w:tcPr>
            <w:tcW w:w="1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投入目标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资金节约率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15%及其以下</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2.35%及其以下</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政府采购规范性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规范</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财务制度健全性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健全</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可行性研究充分性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充分</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专款专用率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预算执行率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8</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82.05%</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资金使用合规性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合规</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工程管理规范性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规范</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产出目标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设备采购计划完成率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6.5</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采购仪器设备15台套</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=15台（套）</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6.5</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16台（套）</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工程完成率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6.5</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设备验收通过率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6.5</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结果目标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设备平均有效运行时间</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=200小时</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5.5</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280小时</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设备使用满意度</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=90%</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5.5</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95%</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新增检测项目能力数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=10项</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5.5</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15项</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设备检测样品数</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=600个</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5.5</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696个</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影响力目标</w:t>
            </w: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科研仪器设备管理制度健全性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健全</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人员培训（针对新设备）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=30人</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35人</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仪器设备人员配套率</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实验室管理制度健全性</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健全</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c>
          <w:tcPr>
            <w:tcW w:w="121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100%</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282"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合计</w:t>
            </w:r>
          </w:p>
        </w:tc>
        <w:tc>
          <w:tcPr>
            <w:tcW w:w="121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0"/>
                <w:szCs w:val="20"/>
              </w:rPr>
            </w:pPr>
            <w:r>
              <w:rPr>
                <w:rFonts w:hint="eastAsia" w:ascii="宋体" w:hAnsi="宋体"/>
                <w:sz w:val="22"/>
              </w:rPr>
              <w:t>77.56</w:t>
            </w:r>
          </w:p>
        </w:tc>
      </w:tr>
    </w:tbl>
    <w:p/>
    <w:tbl>
      <w:tblPr>
        <w:tblStyle w:val="5"/>
        <w:tblW w:w="8506" w:type="dxa"/>
        <w:tblInd w:w="-147" w:type="dxa"/>
        <w:tblLayout w:type="autofit"/>
        <w:tblCellMar>
          <w:top w:w="0" w:type="dxa"/>
          <w:left w:w="0" w:type="dxa"/>
          <w:bottom w:w="0" w:type="dxa"/>
          <w:right w:w="0" w:type="dxa"/>
        </w:tblCellMar>
      </w:tblPr>
      <w:tblGrid>
        <w:gridCol w:w="1547"/>
        <w:gridCol w:w="840"/>
        <w:gridCol w:w="960"/>
        <w:gridCol w:w="960"/>
        <w:gridCol w:w="960"/>
        <w:gridCol w:w="960"/>
        <w:gridCol w:w="960"/>
        <w:gridCol w:w="1319"/>
      </w:tblGrid>
      <w:tr>
        <w:tblPrEx>
          <w:tblCellMar>
            <w:top w:w="0" w:type="dxa"/>
            <w:left w:w="0" w:type="dxa"/>
            <w:bottom w:w="0" w:type="dxa"/>
            <w:right w:w="0" w:type="dxa"/>
          </w:tblCellMar>
        </w:tblPrEx>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填表说明：1.“市级预算执行情况”、“市级财政资金使用情况”均含非税收入。“年初预算数”填“二下”数；“当年使用上年结余、结转及当年调整预算数”填当年使用上年结余、结转数以及追加或调减预算数；“财政拨款数”填财政部门实际拨付的款项数；“实际支付数”填资金实际支付到最终使用者的数额；“结转数”填结转以后年度使用的资金数；“财政收回数”填财政部门收回的资金数。指标结余数=年初预算数+当年使用上年结余、结转及当年调整预算数-财政拨款数；资金结余、结转数=财政拨款数-实际支付数=结转数+财政收回数。2.“指标名称”中“投入”类指标根据项目类型，按照《2021年度苏州市级财政支出项目绩效评价“投入”类共性指标》规定，逐一对照进行自评价；“产出”、“结果”、“影响力”三类指标填列预算部门（单位）报送的绩效目标申报表中经财政部门审核通过的指标，如发生绩效目标调整的，以经财政部门批准调整后的指标为准。3.各项指标权重值为根据指标数量将该类总分值分摊到各项指标的分值，即各项指标分值=该类总分值/指标个数。4.各项数据采集的时间节点均为20</w:t>
            </w:r>
            <w:r>
              <w:rPr>
                <w:rFonts w:cs="Arial"/>
                <w:color w:val="000000"/>
                <w:sz w:val="22"/>
              </w:rPr>
              <w:t>21</w:t>
            </w:r>
            <w:r>
              <w:rPr>
                <w:rFonts w:hint="eastAsia" w:cs="Arial"/>
                <w:color w:val="000000"/>
                <w:sz w:val="22"/>
              </w:rPr>
              <w:t>年12月31日。定性指标按照 好、较好、一般、较差、差 等级评分，分别得对应权重值的100%、80%、60%、40%和20%。定量指标评分规则：“产出”类每项指标的实际完成值对应预期设定的目标值，完成100%～130%得权重值满分，实际完成值每低于目标值1个百分点相应扣减权重值的5%，超过130%的每超过1%扣权重值1%；除指标解释中有特别说明的以外，“投入”类指标评分规则同“产出”类指标；“结果”类每项指标的实际完成值对应预期设定的目标值，完成100%～200%得权重值满分，超过200%的每超过1%扣权重值1%,实际完成值每低于目标值1个百分点相应扣减权重值的5%。某项指标无法提供具体数值，且无说明，得0分。</w:t>
            </w:r>
          </w:p>
        </w:tc>
      </w:tr>
      <w:tr>
        <w:tblPrEx>
          <w:tblCellMar>
            <w:top w:w="0" w:type="dxa"/>
            <w:left w:w="0" w:type="dxa"/>
            <w:bottom w:w="0" w:type="dxa"/>
            <w:right w:w="0" w:type="dxa"/>
          </w:tblCellMar>
        </w:tblPrEx>
        <w:trPr>
          <w:trHeight w:val="450" w:hRule="atLeast"/>
        </w:trPr>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b/>
                <w:bCs/>
                <w:color w:val="000000"/>
                <w:sz w:val="36"/>
                <w:szCs w:val="36"/>
              </w:rPr>
            </w:pPr>
            <w:r>
              <w:rPr>
                <w:rFonts w:hint="eastAsia" w:cs="Arial"/>
                <w:b/>
                <w:bCs/>
                <w:color w:val="000000"/>
                <w:sz w:val="36"/>
                <w:szCs w:val="36"/>
              </w:rPr>
              <w:t>项目基本情况</w:t>
            </w:r>
          </w:p>
        </w:tc>
      </w:tr>
      <w:tr>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项目概况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拟购置实验室仪器设备15台（套），安装在苏州市农科院临湖基地科研创新大楼的5层农业信息技术实验室、6层农业资源与环境实验室、8层农产品质量安全实验室和农产品贮运加工实验室的相应房间中。</w:t>
            </w:r>
          </w:p>
        </w:tc>
      </w:tr>
      <w:tr>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项目总目标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建成后，实验室的研究条件大幅提升，承担国家和地区重大科研任务、解决行业重大科学问题和技术问题的能力显著提升。围绕苏州现代农业需求和农业产业体系建设，开展优良农作物育种与栽培、农产品质量安全与贮运加工、循环农业、休闲农业等学科关键技术的研发，以及新品种、新技术、新模式的集成应用，并通过产学研合作实现基础理论、应用基础和应用技术的衔接和融合，促进产业可持续发展。</w:t>
            </w:r>
            <w:r>
              <w:rPr>
                <w:rFonts w:hint="eastAsia" w:cs="Arial"/>
                <w:color w:val="000000"/>
                <w:sz w:val="22"/>
              </w:rPr>
              <w:br w:type="textWrapping"/>
            </w:r>
            <w:r>
              <w:rPr>
                <w:rFonts w:hint="eastAsia" w:cs="Arial"/>
                <w:color w:val="000000"/>
                <w:sz w:val="22"/>
              </w:rPr>
              <w:t>此外，通过仪器设备的添置，进一步提升本实验室基础研究水平，实现在生态循环农业、作物优良品种培育、农产品质量安全、农产品贮运加工、休闲农业、智慧农业等领域取得较大突破，使本实验室在支撑区域农业产业高质量发展中发挥引领作用，并成为布局合理、功能完备、运转高效、支撑有力的区域性科研创新基地，并实现大型仪器设备的共享共用和拓展面向社会各阶层的有偿检测和测试服务，提高仪器设备的使用效率</w:t>
            </w:r>
          </w:p>
        </w:tc>
      </w:tr>
      <w:tr>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年度绩效目标</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2021年度严格按照政府采购规范要求，计划采购15台(套)仪器设备，新购仪器设备符合可行性报告方案并百分百完成仪器验收。根据仪器设备采购进度，年底仪器设备投入使用率达90%，仪器设备正常运行后，平均每台仪器年检测样品个数大于600个/台或年平均有效运行时间大于200小时/年/台。仪器设备责任到人，大型精密仪器设备有专人管理。制定健全的实验室管理制度和科研仪器设备管理制度。</w:t>
            </w:r>
          </w:p>
        </w:tc>
      </w:tr>
      <w:tr>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项目实施情况</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br w:type="textWrapping"/>
            </w:r>
            <w:r>
              <w:rPr>
                <w:rFonts w:hint="eastAsia" w:cs="Arial"/>
                <w:color w:val="000000"/>
                <w:sz w:val="22"/>
              </w:rPr>
              <w:t>2021年度，我院实验室建设项目总预算650万元，其中630万元用于采购16台套实验室仪器设备，20万元用于实验室改造。截止2021年底，我院共采购16台（套）仪器设备，与实验室建设可行性报告完全相符，仪器设备全部购置到位，验收通过率100%。由于其中2套系统（农业科技服务信息系统和智慧实验室管理系统）采购周期长，于2021年11月中旬完成招标工作，故2021年底前该设备未完成验收。本项目预算执行率为82.05%，资金节约率2.35%。仪器设备到货后，各部门立即组织安装及人员培训，及时投入使用。新购仪器设备均设专人保管，责任到人，设备使用满意度大于90%。</w:t>
            </w:r>
            <w:r>
              <w:rPr>
                <w:rFonts w:hint="eastAsia" w:cs="Arial"/>
                <w:color w:val="000000"/>
                <w:sz w:val="22"/>
              </w:rPr>
              <w:br w:type="textWrapping"/>
            </w:r>
            <w:r>
              <w:rPr>
                <w:rFonts w:hint="eastAsia" w:cs="Arial"/>
                <w:color w:val="000000"/>
                <w:sz w:val="22"/>
              </w:rPr>
              <w:t>针对市科技局安全检查发现的安全问题（乙炔气瓶柜无排风、缺少可燃气体报警器及氧含量报警器等），组织实验室改造，并通过专家验收，工程完成率为100%。</w:t>
            </w:r>
            <w:r>
              <w:rPr>
                <w:rFonts w:hint="eastAsia" w:cs="Arial"/>
                <w:color w:val="000000"/>
                <w:sz w:val="22"/>
              </w:rPr>
              <w:br w:type="textWrapping"/>
            </w:r>
            <w:r>
              <w:rPr>
                <w:rFonts w:hint="eastAsia" w:cs="Arial"/>
                <w:color w:val="000000"/>
                <w:sz w:val="22"/>
              </w:rPr>
              <w:t>针对实验室管理制定了危险化学品和危险废弃物管理办法、实验室安全工作管理办法、大型仪器设备资源共享管理办法等相关制度，加强了实验室的安全及仪器设备管理，确保实验室及仪器设备安全。</w:t>
            </w:r>
          </w:p>
        </w:tc>
      </w:tr>
      <w:tr>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项目管理成效</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实验室仪器设备的添置进一步提升了科研仪器及装备水平，显著提升了院承担国家和行业重大科研任务、解决行业重大技术问题的能力，促进提升科技创新及科技支撑能力，推动重大成果研发，推动院科技创新工作转型发展，并为苏州市农业生产输送高素质、高水平的科研和服务人才。</w:t>
            </w:r>
          </w:p>
        </w:tc>
      </w:tr>
      <w:tr>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项目管理存在的问题及原因</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1.部门间缺少协调沟通，内部管理不顺；2.相关职能部门对绩效考核的重要性认识不够，在关键节点缺少检查督促；3.部分仪器设备为进口仪器，采购周期过长，影响供货和验收；4.软件类项目的采购要经过大数据局的评审，评审时间较长导致采购周期过长。</w:t>
            </w:r>
          </w:p>
        </w:tc>
      </w:tr>
      <w:tr>
        <w:tblPrEx>
          <w:tblCellMar>
            <w:top w:w="0" w:type="dxa"/>
            <w:left w:w="0" w:type="dxa"/>
            <w:bottom w:w="0" w:type="dxa"/>
            <w:right w:w="0" w:type="dxa"/>
          </w:tblCellMar>
        </w:tblPrEx>
        <w:tc>
          <w:tcPr>
            <w:tcW w:w="1547" w:type="dxa"/>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进一步加强项目管理的建议</w:t>
            </w:r>
          </w:p>
        </w:tc>
        <w:tc>
          <w:tcPr>
            <w:tcW w:w="6959" w:type="dxa"/>
            <w:gridSpan w:val="7"/>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color w:val="000000"/>
                <w:sz w:val="22"/>
              </w:rPr>
            </w:pPr>
            <w:r>
              <w:rPr>
                <w:rFonts w:hint="eastAsia" w:cs="Arial"/>
                <w:color w:val="000000"/>
                <w:sz w:val="22"/>
              </w:rPr>
              <w:t>1.制定苏州市农业科学院财政资金预算绩效考核管理办法，明确各部门的职责，加强各部门的协调配合。2.严格按照预算绩效考核管理制度的要求督促相关部门加快项目实施进度，加快预算执行进度，提升资金使用效率。职能部门须督促已签订合同的项目尽快履行项目合同，通知各供应商供货并安装调式，完成验收工作。确保所有仪器设备尽快尽早采购到位，并尽早投入使用。3.密切关注目标任务开展情况，结合绩效目标开展实际工作。紧紧围绕各项目标任务，密切关注目标任务开展情况，多与供应商及上级主管部门沟通，及时发现并解决目标任务完成过程中遇到的问题，及时确保绩效目标得到全面贯彻执行。</w:t>
            </w:r>
          </w:p>
        </w:tc>
      </w:tr>
      <w:tr>
        <w:tblPrEx>
          <w:tblCellMar>
            <w:top w:w="0" w:type="dxa"/>
            <w:left w:w="0" w:type="dxa"/>
            <w:bottom w:w="0" w:type="dxa"/>
            <w:right w:w="0" w:type="dxa"/>
          </w:tblCellMar>
        </w:tblPrEx>
        <w:trPr>
          <w:trHeight w:val="285" w:hRule="atLeast"/>
        </w:trPr>
        <w:tc>
          <w:tcPr>
            <w:tcW w:w="8506" w:type="dxa"/>
            <w:gridSpan w:val="8"/>
            <w:tcBorders>
              <w:top w:val="single" w:color="auto" w:sz="4" w:space="0"/>
              <w:left w:val="nil"/>
              <w:bottom w:val="nil"/>
              <w:right w:val="nil"/>
            </w:tcBorders>
            <w:shd w:val="clear" w:color="auto" w:fill="auto"/>
            <w:noWrap/>
            <w:tcMar>
              <w:top w:w="15" w:type="dxa"/>
              <w:left w:w="15" w:type="dxa"/>
              <w:bottom w:w="0" w:type="dxa"/>
              <w:right w:w="15" w:type="dxa"/>
            </w:tcMar>
            <w:vAlign w:val="center"/>
          </w:tcPr>
          <w:p>
            <w:pPr>
              <w:rPr>
                <w:rFonts w:cs="Arial"/>
                <w:sz w:val="22"/>
              </w:rPr>
            </w:pPr>
            <w:r>
              <w:rPr>
                <w:rFonts w:hint="eastAsia" w:cs="Arial"/>
                <w:sz w:val="22"/>
              </w:rPr>
              <w:t>（标注：项目概况、项目总目标、年度绩效目标由软件自动从申报表中生成）</w:t>
            </w:r>
          </w:p>
        </w:tc>
      </w:tr>
      <w:tr>
        <w:tblPrEx>
          <w:tblCellMar>
            <w:top w:w="0" w:type="dxa"/>
            <w:left w:w="0" w:type="dxa"/>
            <w:bottom w:w="0" w:type="dxa"/>
            <w:right w:w="0" w:type="dxa"/>
          </w:tblCellMar>
        </w:tblPrEx>
        <w:trPr>
          <w:hidden/>
        </w:trPr>
        <w:tc>
          <w:tcPr>
            <w:tcW w:w="1547"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84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c>
          <w:tcPr>
            <w:tcW w:w="1319" w:type="dxa"/>
            <w:tcBorders>
              <w:top w:val="nil"/>
              <w:left w:val="nil"/>
              <w:bottom w:val="nil"/>
              <w:right w:val="nil"/>
            </w:tcBorders>
            <w:shd w:val="clear" w:color="auto" w:fill="auto"/>
            <w:noWrap/>
            <w:tcMar>
              <w:top w:w="15" w:type="dxa"/>
              <w:left w:w="15" w:type="dxa"/>
              <w:bottom w:w="0" w:type="dxa"/>
              <w:right w:w="15" w:type="dxa"/>
            </w:tcMar>
            <w:vAlign w:val="bottom"/>
          </w:tcPr>
          <w:p>
            <w:pPr>
              <w:rPr>
                <w:rFonts w:ascii="Arial" w:hAnsi="Arial" w:cs="Arial"/>
                <w:vanish/>
                <w:sz w:val="20"/>
                <w:szCs w:val="20"/>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AE"/>
    <w:rsid w:val="000227CC"/>
    <w:rsid w:val="00027583"/>
    <w:rsid w:val="0005797A"/>
    <w:rsid w:val="000A753F"/>
    <w:rsid w:val="000D6913"/>
    <w:rsid w:val="00135BA0"/>
    <w:rsid w:val="00146D27"/>
    <w:rsid w:val="00154572"/>
    <w:rsid w:val="001865A9"/>
    <w:rsid w:val="001A45C6"/>
    <w:rsid w:val="00210D2C"/>
    <w:rsid w:val="0027417E"/>
    <w:rsid w:val="00277E96"/>
    <w:rsid w:val="00295EA9"/>
    <w:rsid w:val="002F132B"/>
    <w:rsid w:val="00320B72"/>
    <w:rsid w:val="003309F6"/>
    <w:rsid w:val="003311D3"/>
    <w:rsid w:val="00371193"/>
    <w:rsid w:val="003858C6"/>
    <w:rsid w:val="003D5254"/>
    <w:rsid w:val="00421DBC"/>
    <w:rsid w:val="00422096"/>
    <w:rsid w:val="00465368"/>
    <w:rsid w:val="00507C7E"/>
    <w:rsid w:val="005365FF"/>
    <w:rsid w:val="005530C8"/>
    <w:rsid w:val="005A4855"/>
    <w:rsid w:val="005B3C15"/>
    <w:rsid w:val="00610E39"/>
    <w:rsid w:val="0063349A"/>
    <w:rsid w:val="0063730A"/>
    <w:rsid w:val="00655009"/>
    <w:rsid w:val="00687228"/>
    <w:rsid w:val="006B065A"/>
    <w:rsid w:val="006E5E74"/>
    <w:rsid w:val="007471FF"/>
    <w:rsid w:val="007615B8"/>
    <w:rsid w:val="007615EF"/>
    <w:rsid w:val="007905BA"/>
    <w:rsid w:val="007D410D"/>
    <w:rsid w:val="00857DAE"/>
    <w:rsid w:val="008B0946"/>
    <w:rsid w:val="008B69AC"/>
    <w:rsid w:val="00907BA2"/>
    <w:rsid w:val="0099571D"/>
    <w:rsid w:val="009B2F6A"/>
    <w:rsid w:val="009D57D9"/>
    <w:rsid w:val="00A63BDD"/>
    <w:rsid w:val="00A919F2"/>
    <w:rsid w:val="00A970CD"/>
    <w:rsid w:val="00AB1312"/>
    <w:rsid w:val="00AB15D9"/>
    <w:rsid w:val="00AE42C0"/>
    <w:rsid w:val="00B10E19"/>
    <w:rsid w:val="00B15E35"/>
    <w:rsid w:val="00B6380C"/>
    <w:rsid w:val="00B869C7"/>
    <w:rsid w:val="00B948BC"/>
    <w:rsid w:val="00BE0B02"/>
    <w:rsid w:val="00BF549A"/>
    <w:rsid w:val="00C10620"/>
    <w:rsid w:val="00C37A85"/>
    <w:rsid w:val="00C87E85"/>
    <w:rsid w:val="00C9508A"/>
    <w:rsid w:val="00CD2CA9"/>
    <w:rsid w:val="00CE3F84"/>
    <w:rsid w:val="00CE6115"/>
    <w:rsid w:val="00CF3DEA"/>
    <w:rsid w:val="00D159A7"/>
    <w:rsid w:val="00D74E9C"/>
    <w:rsid w:val="00DC3C89"/>
    <w:rsid w:val="00DF4CEA"/>
    <w:rsid w:val="00E2688E"/>
    <w:rsid w:val="00E504B2"/>
    <w:rsid w:val="00E632B8"/>
    <w:rsid w:val="00E86A5D"/>
    <w:rsid w:val="00E9615F"/>
    <w:rsid w:val="00EA1C55"/>
    <w:rsid w:val="00EA7D5C"/>
    <w:rsid w:val="00EC507F"/>
    <w:rsid w:val="00F051B3"/>
    <w:rsid w:val="00F66D21"/>
    <w:rsid w:val="00F74F9B"/>
    <w:rsid w:val="00FD578E"/>
    <w:rsid w:val="6F7A6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闻政标题4 Char"/>
    <w:link w:val="10"/>
    <w:qFormat/>
    <w:locked/>
    <w:uiPriority w:val="0"/>
    <w:rPr>
      <w:rFonts w:ascii="仿宋_GB2312" w:eastAsia="仿宋_GB2312"/>
      <w:b/>
      <w:bCs/>
      <w:sz w:val="28"/>
      <w:szCs w:val="32"/>
    </w:rPr>
  </w:style>
  <w:style w:type="paragraph" w:customStyle="1" w:styleId="10">
    <w:name w:val="闻政标题4"/>
    <w:basedOn w:val="2"/>
    <w:link w:val="9"/>
    <w:qFormat/>
    <w:uiPriority w:val="0"/>
    <w:pPr>
      <w:spacing w:before="120" w:after="60" w:line="500" w:lineRule="exact"/>
      <w:ind w:firstLine="200" w:firstLineChars="200"/>
      <w:jc w:val="left"/>
    </w:pPr>
    <w:rPr>
      <w:rFonts w:ascii="仿宋_GB2312" w:eastAsia="仿宋_GB2312" w:hAnsiTheme="minorHAnsi" w:cstheme="minorBidi"/>
      <w:sz w:val="28"/>
    </w:rPr>
  </w:style>
  <w:style w:type="character" w:customStyle="1" w:styleId="11">
    <w:name w:val="标题 2 Char"/>
    <w:basedOn w:val="6"/>
    <w:link w:val="2"/>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2916</Words>
  <Characters>3200</Characters>
  <Lines>24</Lines>
  <Paragraphs>6</Paragraphs>
  <TotalTime>6</TotalTime>
  <ScaleCrop>false</ScaleCrop>
  <LinksUpToDate>false</LinksUpToDate>
  <CharactersWithSpaces>3202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2022-10-27T06:31:00Z</dcterms:created>
  <dc:creator>成 王</dc:creator>
  <cp:lastModifiedBy>林微</cp:lastModifiedBy>
  <dcterms:modified xsi:type="dcterms:W3CDTF">2022-10-28T01:16:40Z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31A4471BE8674D9B9596EB5D3CDFE197</vt:lpwstr>
  </property>
</Properties>
</file>